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376" w:rsidRPr="00F37376" w:rsidRDefault="00F37376" w:rsidP="00F3737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5B9BD5" w:themeColor="accent1"/>
          <w:sz w:val="26"/>
          <w:szCs w:val="26"/>
        </w:rPr>
      </w:pPr>
      <w:r>
        <w:rPr>
          <w:rFonts w:ascii="Arial" w:hAnsi="Arial" w:cs="Arial"/>
          <w:b/>
          <w:bCs/>
          <w:color w:val="5B9BD5" w:themeColor="accent1"/>
          <w:sz w:val="26"/>
          <w:szCs w:val="26"/>
        </w:rPr>
        <w:t>Teil B5</w:t>
      </w:r>
      <w:r>
        <w:rPr>
          <w:rFonts w:ascii="Arial" w:hAnsi="Arial" w:cs="Arial"/>
          <w:b/>
          <w:bCs/>
          <w:color w:val="5B9BD5" w:themeColor="accent1"/>
          <w:sz w:val="26"/>
          <w:szCs w:val="26"/>
        </w:rPr>
        <w:tab/>
      </w:r>
      <w:r w:rsidRPr="00F37376">
        <w:rPr>
          <w:rFonts w:ascii="Arial" w:hAnsi="Arial" w:cs="Arial"/>
          <w:b/>
          <w:bCs/>
          <w:color w:val="5B9BD5" w:themeColor="accent1"/>
          <w:sz w:val="26"/>
          <w:szCs w:val="26"/>
        </w:rPr>
        <w:t>Detaillierte Regelungen für den Leistungsbereich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240" w:lineRule="auto"/>
        <w:ind w:left="993"/>
        <w:rPr>
          <w:rFonts w:ascii="Arial" w:hAnsi="Arial" w:cs="Arial"/>
          <w:b/>
          <w:bCs/>
          <w:color w:val="5B9BD5" w:themeColor="accent1"/>
          <w:sz w:val="26"/>
          <w:szCs w:val="26"/>
        </w:rPr>
      </w:pPr>
      <w:r w:rsidRPr="00F37376">
        <w:rPr>
          <w:rFonts w:ascii="Arial" w:hAnsi="Arial" w:cs="Arial"/>
          <w:b/>
          <w:bCs/>
          <w:color w:val="5B9BD5" w:themeColor="accent1"/>
          <w:sz w:val="26"/>
          <w:szCs w:val="26"/>
        </w:rPr>
        <w:t>Bauphysik</w:t>
      </w:r>
    </w:p>
    <w:p w:rsidR="00F67A08" w:rsidRDefault="00F67A08" w:rsidP="00F37376">
      <w:pPr>
        <w:autoSpaceDE w:val="0"/>
        <w:autoSpaceDN w:val="0"/>
        <w:adjustRightInd w:val="0"/>
        <w:spacing w:after="0" w:line="360" w:lineRule="auto"/>
        <w:ind w:left="993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ind w:left="993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– Wärmeschutz und Energiebilanzierung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ind w:left="993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– Bauakustik (Schallschutz)</w:t>
      </w: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ind w:left="993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– Raumakustik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ind w:left="993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Ergänzend zum Teil A „Allgemeine Regelungen“ vereinbaren Auftraggeber (AG) sowie Auftragnehmer (AN) für die bauphysikalischen Beratungsleistungen für das in Teil A §</w:t>
      </w:r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1 näher definierte Projekt</w:t>
      </w:r>
    </w:p>
    <w:p w:rsidR="00F37376" w:rsidRDefault="00F67A08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shd w:val="clear" w:color="auto" w:fill="D9D9D9" w:themeFill="background1" w:themeFillShade="D9"/>
        </w:rPr>
        <w:tab/>
      </w: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nachstehenden Leistungsumfang und d</w:t>
      </w:r>
      <w:r>
        <w:rPr>
          <w:rFonts w:ascii="Arial" w:hAnsi="Arial" w:cs="Arial"/>
          <w:sz w:val="20"/>
          <w:szCs w:val="20"/>
        </w:rPr>
        <w:t>ie nachfolgende Honorarregelung</w:t>
      </w:r>
      <w:r w:rsidRPr="00F37376">
        <w:rPr>
          <w:rStyle w:val="Funotenzeichen"/>
          <w:rFonts w:ascii="Arial" w:hAnsi="Arial" w:cs="Arial"/>
          <w:b/>
          <w:sz w:val="24"/>
          <w:szCs w:val="24"/>
        </w:rPr>
        <w:footnoteReference w:id="1"/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5B9BD5" w:themeColor="accent1"/>
          <w:sz w:val="20"/>
          <w:szCs w:val="20"/>
        </w:rPr>
      </w:pPr>
      <w:r w:rsidRPr="00F37376">
        <w:rPr>
          <w:rFonts w:ascii="Arial" w:hAnsi="Arial" w:cs="Arial"/>
          <w:b/>
          <w:bCs/>
          <w:color w:val="5B9BD5" w:themeColor="accent1"/>
          <w:sz w:val="20"/>
          <w:szCs w:val="20"/>
        </w:rPr>
        <w:t>§ 1 Leistungen des Auftragnehmers</w:t>
      </w:r>
    </w:p>
    <w:p w:rsidR="00A65B6A" w:rsidRDefault="00A65B6A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1.1 Gegenstand des Vertrages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sind Ingenieurleistungen der Leistungsbereiche für Bauphysik (gem. Anlage 1 Ziff. 1.2.1 Abs. 1 HOAI):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37738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1DC1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7376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Wärmeschutz und Energiebilanzierung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54226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7376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Bauakustik (Schallschutz)</w:t>
      </w:r>
    </w:p>
    <w:p w:rsid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389641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7376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Raumakustik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1.2 Grundleistungen (Anlage 1 Ziff. 1.2.2 Abs. 1 HOAI)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Der AG beauftragt den AN für die in Ziffer 1.1 angekreuzten Leistungsbereiche mit den folgenden Leistungsphasen:</w:t>
      </w:r>
    </w:p>
    <w:p w:rsidR="00F37376" w:rsidRDefault="00F37376" w:rsidP="00F37376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von der HOAI</w:t>
      </w:r>
    </w:p>
    <w:p w:rsidR="00F37376" w:rsidRDefault="00F37376" w:rsidP="00F37376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Leistungsphasen</w:t>
      </w:r>
      <w:r>
        <w:rPr>
          <w:rFonts w:ascii="Arial" w:hAnsi="Arial" w:cs="Arial"/>
          <w:sz w:val="20"/>
          <w:szCs w:val="20"/>
        </w:rPr>
        <w:tab/>
        <w:t>Bewertung</w:t>
      </w:r>
      <w:r>
        <w:rPr>
          <w:rFonts w:ascii="Arial" w:hAnsi="Arial" w:cs="Arial"/>
          <w:sz w:val="20"/>
          <w:szCs w:val="20"/>
        </w:rPr>
        <w:tab/>
        <w:t>abweichende</w:t>
      </w:r>
    </w:p>
    <w:p w:rsidR="00F37376" w:rsidRPr="00F37376" w:rsidRDefault="00F37376" w:rsidP="00F37376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gem. HOAI</w:t>
      </w:r>
      <w:r>
        <w:rPr>
          <w:rFonts w:ascii="Arial" w:hAnsi="Arial" w:cs="Arial"/>
          <w:sz w:val="20"/>
          <w:szCs w:val="20"/>
        </w:rPr>
        <w:tab/>
        <w:t>Bewertung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9E575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1 </w:t>
      </w:r>
      <w:sdt>
        <w:sdtPr>
          <w:rPr>
            <w:rFonts w:ascii="Arial" w:hAnsi="Arial" w:cs="Arial"/>
            <w:sz w:val="20"/>
            <w:szCs w:val="20"/>
          </w:rPr>
          <w:id w:val="-1360501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 xml:space="preserve">Grundlagenermittlung (Leistungsphase 1) </w:t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3 %</w:t>
      </w:r>
      <w:r>
        <w:rPr>
          <w:rFonts w:ascii="Arial" w:hAnsi="Arial" w:cs="Arial"/>
          <w:sz w:val="20"/>
          <w:szCs w:val="20"/>
        </w:rPr>
        <w:tab/>
      </w:r>
      <w:r w:rsidR="000600F1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9E575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2 </w:t>
      </w:r>
      <w:sdt>
        <w:sdtPr>
          <w:rPr>
            <w:rFonts w:ascii="Arial" w:hAnsi="Arial" w:cs="Arial"/>
            <w:sz w:val="20"/>
            <w:szCs w:val="20"/>
          </w:rPr>
          <w:id w:val="2147151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 xml:space="preserve">Mitwirken bei der Vorplanung (Leistungsphase 2) </w:t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20 %</w:t>
      </w:r>
      <w:r>
        <w:rPr>
          <w:rFonts w:ascii="Arial" w:hAnsi="Arial" w:cs="Arial"/>
          <w:sz w:val="20"/>
          <w:szCs w:val="20"/>
        </w:rPr>
        <w:tab/>
      </w:r>
      <w:r w:rsidR="000600F1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9E575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3 </w:t>
      </w:r>
      <w:sdt>
        <w:sdtPr>
          <w:rPr>
            <w:rFonts w:ascii="Arial" w:hAnsi="Arial" w:cs="Arial"/>
            <w:sz w:val="20"/>
            <w:szCs w:val="20"/>
          </w:rPr>
          <w:id w:val="1644386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 xml:space="preserve">Mitwirken bei der Entwurfsplanung (Leistungsphase 3) </w:t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40 %</w:t>
      </w:r>
      <w:r>
        <w:rPr>
          <w:rFonts w:ascii="Arial" w:hAnsi="Arial" w:cs="Arial"/>
          <w:sz w:val="20"/>
          <w:szCs w:val="20"/>
        </w:rPr>
        <w:tab/>
      </w:r>
      <w:r w:rsidR="000600F1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9E575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4 </w:t>
      </w:r>
      <w:sdt>
        <w:sdtPr>
          <w:rPr>
            <w:rFonts w:ascii="Arial" w:hAnsi="Arial" w:cs="Arial"/>
            <w:sz w:val="20"/>
            <w:szCs w:val="20"/>
          </w:rPr>
          <w:id w:val="-2144331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 xml:space="preserve">Mitwirken bei der Genehmigungsplanung (Leistungsphase 4) </w:t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6 %</w:t>
      </w:r>
      <w:r>
        <w:rPr>
          <w:rFonts w:ascii="Arial" w:hAnsi="Arial" w:cs="Arial"/>
          <w:sz w:val="20"/>
          <w:szCs w:val="20"/>
        </w:rPr>
        <w:tab/>
      </w:r>
      <w:r w:rsidR="000600F1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9E575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5 </w:t>
      </w:r>
      <w:sdt>
        <w:sdtPr>
          <w:rPr>
            <w:rFonts w:ascii="Arial" w:hAnsi="Arial" w:cs="Arial"/>
            <w:sz w:val="20"/>
            <w:szCs w:val="20"/>
          </w:rPr>
          <w:id w:val="61827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 xml:space="preserve">Mitwirken bei der Ausführungsplanung (Leistungsphase 5) </w:t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27 %</w:t>
      </w:r>
      <w:r>
        <w:rPr>
          <w:rFonts w:ascii="Arial" w:hAnsi="Arial" w:cs="Arial"/>
          <w:sz w:val="20"/>
          <w:szCs w:val="20"/>
        </w:rPr>
        <w:tab/>
      </w:r>
      <w:r w:rsidR="000600F1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9E575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6 </w:t>
      </w:r>
      <w:sdt>
        <w:sdtPr>
          <w:rPr>
            <w:rFonts w:ascii="Arial" w:hAnsi="Arial" w:cs="Arial"/>
            <w:sz w:val="20"/>
            <w:szCs w:val="20"/>
          </w:rPr>
          <w:id w:val="-1697690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 xml:space="preserve">Mitwirken bei der Vorbereitung der Vergabe (Leistungsphase 6) </w:t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2 %</w:t>
      </w:r>
      <w:r>
        <w:rPr>
          <w:rFonts w:ascii="Arial" w:hAnsi="Arial" w:cs="Arial"/>
          <w:sz w:val="20"/>
          <w:szCs w:val="20"/>
        </w:rPr>
        <w:tab/>
      </w:r>
      <w:r w:rsidR="000600F1" w:rsidRPr="00E95537">
        <w:rPr>
          <w:shd w:val="clear" w:color="auto" w:fill="D9D9D9" w:themeFill="background1" w:themeFillShade="D9"/>
        </w:rPr>
        <w:tab/>
      </w:r>
    </w:p>
    <w:p w:rsidR="00F37376" w:rsidRDefault="00F37376" w:rsidP="009E575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7 </w:t>
      </w:r>
      <w:sdt>
        <w:sdtPr>
          <w:rPr>
            <w:rFonts w:ascii="Arial" w:hAnsi="Arial" w:cs="Arial"/>
            <w:sz w:val="20"/>
            <w:szCs w:val="20"/>
          </w:rPr>
          <w:id w:val="-1007664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 xml:space="preserve">Mitwirken bei der Vergabe (Leistungsphase 7) </w:t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2 %</w:t>
      </w:r>
      <w:r>
        <w:rPr>
          <w:rFonts w:ascii="Arial" w:hAnsi="Arial" w:cs="Arial"/>
          <w:sz w:val="20"/>
          <w:szCs w:val="20"/>
        </w:rPr>
        <w:tab/>
      </w:r>
      <w:r w:rsidR="000600F1" w:rsidRPr="00E95537">
        <w:rPr>
          <w:shd w:val="clear" w:color="auto" w:fill="D9D9D9" w:themeFill="background1" w:themeFillShade="D9"/>
        </w:rPr>
        <w:tab/>
      </w: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lastRenderedPageBreak/>
        <w:t>Abweichend hiervon werden für die nachfolgend genannten Leistungsbereiche der Bauphysik die folgenden</w:t>
      </w:r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Leistungsphasen beauftragt bzw. die folgenden von der HOAI abweichenden Bewertungen vorgenommen.</w:t>
      </w:r>
    </w:p>
    <w:p w:rsidR="00F37376" w:rsidRPr="00F37376" w:rsidRDefault="00F67A08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* Die von der HOAI abweichende Bewertung ergibt sich daraus, dass die folgenden Leistungen statt vom</w:t>
      </w:r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AN durch den AG oder den nachfolgend benannten weiteren Auftragnehmern eigenverantwortlich erbracht</w:t>
      </w:r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werden:</w:t>
      </w:r>
    </w:p>
    <w:p w:rsidR="00F37376" w:rsidRDefault="00F67A08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E95537">
        <w:rPr>
          <w:shd w:val="clear" w:color="auto" w:fill="D9D9D9" w:themeFill="background1" w:themeFillShade="D9"/>
        </w:rPr>
        <w:tab/>
      </w: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F37376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Für den Fall, dass ganze Leistungsphasen nicht beauftragt werden sollten:</w:t>
      </w: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Die nicht beauftragten Leistungsphasen wurden oder werden in entsprechender Verantwortung des AG</w:t>
      </w:r>
      <w:r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bzw. des vom AG Beauftragten oder zu Beauftragenden erbracht durch:</w:t>
      </w:r>
    </w:p>
    <w:p w:rsidR="00F37376" w:rsidRDefault="00F67A08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F37376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37376" w:rsidRPr="00F37376" w:rsidRDefault="00F37376" w:rsidP="00F37376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1.3 Besondere Leistungen (Anlage 1 Ziff. 1.2.2 Abs. 2 HOAI)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Der AG beauftragt den AN mit der Erbringung der folgenden besonderen Leistungen:</w:t>
      </w:r>
    </w:p>
    <w:p w:rsidR="00F37376" w:rsidRPr="00F37376" w:rsidRDefault="00F37376" w:rsidP="00F37376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Honorarhöhe:</w:t>
      </w:r>
    </w:p>
    <w:p w:rsidR="00F37376" w:rsidRPr="00F37376" w:rsidRDefault="00F37376" w:rsidP="00F37376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pauschal / als Stundensatz /</w:t>
      </w:r>
    </w:p>
    <w:p w:rsidR="00F37376" w:rsidRPr="00F37376" w:rsidRDefault="00F37376" w:rsidP="00F37376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als Prozentsatz vom Honorar</w:t>
      </w:r>
    </w:p>
    <w:p w:rsidR="00F37376" w:rsidRPr="00F37376" w:rsidRDefault="00F37376" w:rsidP="00F37376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für Leistungen gemäß § 1.2</w:t>
      </w:r>
    </w:p>
    <w:p w:rsidR="00F37376" w:rsidRDefault="00F37376" w:rsidP="00F37376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426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8 </w:t>
      </w:r>
      <w:sdt>
        <w:sdtPr>
          <w:rPr>
            <w:rFonts w:ascii="Arial" w:hAnsi="Arial" w:cs="Arial"/>
            <w:sz w:val="20"/>
            <w:szCs w:val="20"/>
          </w:rPr>
          <w:id w:val="681473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Mitwirken bei der Ausarbeitung von Auslobungen und bei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F37376">
        <w:rPr>
          <w:rFonts w:ascii="Arial" w:hAnsi="Arial" w:cs="Arial"/>
          <w:sz w:val="20"/>
          <w:szCs w:val="20"/>
        </w:rPr>
        <w:t>Vorprüfungen für Wettbewerbe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426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9 </w:t>
      </w:r>
      <w:sdt>
        <w:sdtPr>
          <w:rPr>
            <w:rFonts w:ascii="Arial" w:hAnsi="Arial" w:cs="Arial"/>
            <w:sz w:val="20"/>
            <w:szCs w:val="20"/>
          </w:rPr>
          <w:id w:val="-1909608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Bestandsaufnahme bestehender Gebäude, Ermitteln und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F37376">
        <w:rPr>
          <w:rFonts w:ascii="Arial" w:hAnsi="Arial" w:cs="Arial"/>
          <w:sz w:val="20"/>
          <w:szCs w:val="20"/>
        </w:rPr>
        <w:t>Bewerten von Kennwerten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10 </w:t>
      </w:r>
      <w:sdt>
        <w:sdtPr>
          <w:rPr>
            <w:rFonts w:ascii="Arial" w:hAnsi="Arial" w:cs="Arial"/>
            <w:sz w:val="20"/>
            <w:szCs w:val="20"/>
          </w:rPr>
          <w:id w:val="403805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Schadensanalyse bestehender Gebäude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11 </w:t>
      </w:r>
      <w:sdt>
        <w:sdtPr>
          <w:rPr>
            <w:rFonts w:ascii="Arial" w:hAnsi="Arial" w:cs="Arial"/>
            <w:sz w:val="20"/>
            <w:szCs w:val="20"/>
          </w:rPr>
          <w:id w:val="2052185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Mitwirken bei Vorgaben für Zertifizierungen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12 </w:t>
      </w:r>
      <w:sdt>
        <w:sdtPr>
          <w:rPr>
            <w:rFonts w:ascii="Arial" w:hAnsi="Arial" w:cs="Arial"/>
            <w:sz w:val="20"/>
            <w:szCs w:val="20"/>
          </w:rPr>
          <w:id w:val="1274440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Mitwirken beim Klären von Vorgaben für Fördermaßnahmen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F37376">
        <w:rPr>
          <w:rFonts w:ascii="Arial" w:hAnsi="Arial" w:cs="Arial"/>
          <w:sz w:val="20"/>
          <w:szCs w:val="20"/>
        </w:rPr>
        <w:t>und bei deren Umsetzung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13 </w:t>
      </w:r>
      <w:sdt>
        <w:sdtPr>
          <w:rPr>
            <w:rFonts w:ascii="Arial" w:hAnsi="Arial" w:cs="Arial"/>
            <w:sz w:val="20"/>
            <w:szCs w:val="20"/>
          </w:rPr>
          <w:id w:val="-2114501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Mitwirken an Projekt-, Käufer- oder Mieterbaubeschreibungen</w:t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14 </w:t>
      </w:r>
      <w:sdt>
        <w:sdtPr>
          <w:rPr>
            <w:rFonts w:ascii="Arial" w:hAnsi="Arial" w:cs="Arial"/>
            <w:sz w:val="20"/>
            <w:szCs w:val="20"/>
          </w:rPr>
          <w:id w:val="1345601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Mitwirken bei der Planung der Maßnahmen für Luftdichtheit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F37376">
        <w:rPr>
          <w:rFonts w:ascii="Arial" w:hAnsi="Arial" w:cs="Arial"/>
          <w:sz w:val="20"/>
          <w:szCs w:val="20"/>
        </w:rPr>
        <w:t>der Gebäudehülle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15 </w:t>
      </w:r>
      <w:sdt>
        <w:sdtPr>
          <w:rPr>
            <w:rFonts w:ascii="Arial" w:hAnsi="Arial" w:cs="Arial"/>
            <w:sz w:val="20"/>
            <w:szCs w:val="20"/>
          </w:rPr>
          <w:id w:val="1947427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Erstellen eines fachübergreifenden Bauteilkatalogs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16 </w:t>
      </w:r>
      <w:sdt>
        <w:sdtPr>
          <w:rPr>
            <w:rFonts w:ascii="Arial" w:hAnsi="Arial" w:cs="Arial"/>
            <w:sz w:val="20"/>
            <w:szCs w:val="20"/>
          </w:rPr>
          <w:id w:val="-40450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Simulationen zur Prognose des Verhaltens von Bauteilen,</w:t>
      </w:r>
      <w:r>
        <w:rPr>
          <w:rFonts w:ascii="Arial" w:hAnsi="Arial" w:cs="Arial"/>
          <w:sz w:val="20"/>
          <w:szCs w:val="20"/>
        </w:rPr>
        <w:br/>
      </w:r>
      <w:r w:rsidRPr="00F37376">
        <w:rPr>
          <w:rFonts w:ascii="Arial" w:hAnsi="Arial" w:cs="Arial"/>
          <w:sz w:val="20"/>
          <w:szCs w:val="20"/>
        </w:rPr>
        <w:t>Räumen, Gebäuden und Freiräumen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17 </w:t>
      </w:r>
      <w:sdt>
        <w:sdtPr>
          <w:rPr>
            <w:rFonts w:ascii="Arial" w:hAnsi="Arial" w:cs="Arial"/>
            <w:sz w:val="20"/>
            <w:szCs w:val="20"/>
          </w:rPr>
          <w:id w:val="-1756896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Mitwirken bei Vorkontrollen in Zertifizierungsprozessen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18 </w:t>
      </w:r>
      <w:sdt>
        <w:sdtPr>
          <w:rPr>
            <w:rFonts w:ascii="Arial" w:hAnsi="Arial" w:cs="Arial"/>
            <w:sz w:val="20"/>
            <w:szCs w:val="20"/>
          </w:rPr>
          <w:id w:val="1786924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2A8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Mitwirken beim Einholen von Zustimmungen im Einzelfall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lastRenderedPageBreak/>
        <w:t xml:space="preserve">19 </w:t>
      </w:r>
      <w:sdt>
        <w:sdtPr>
          <w:rPr>
            <w:rFonts w:ascii="Arial" w:hAnsi="Arial" w:cs="Arial"/>
            <w:sz w:val="20"/>
            <w:szCs w:val="20"/>
          </w:rPr>
          <w:id w:val="1202914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Mitwirken beim Prüfen und Anerkennen der Montage- und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F37376">
        <w:rPr>
          <w:rFonts w:ascii="Arial" w:hAnsi="Arial" w:cs="Arial"/>
          <w:sz w:val="20"/>
          <w:szCs w:val="20"/>
        </w:rPr>
        <w:t>Werkstattplanung der ausführenden Unternehmen auf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F37376">
        <w:rPr>
          <w:rFonts w:ascii="Arial" w:hAnsi="Arial" w:cs="Arial"/>
          <w:sz w:val="20"/>
          <w:szCs w:val="20"/>
        </w:rPr>
        <w:t>Übereinstimmung mit der Ausführungsplanung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20 </w:t>
      </w:r>
      <w:sdt>
        <w:sdtPr>
          <w:rPr>
            <w:rFonts w:ascii="Arial" w:hAnsi="Arial" w:cs="Arial"/>
            <w:sz w:val="20"/>
            <w:szCs w:val="20"/>
          </w:rPr>
          <w:id w:val="-2131073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Prüfen von Nebenangeboten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Honorarhöhe:</w:t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pauschal / als Stundensatz /</w:t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als Prozentsatz vom Honorar</w:t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für Leistungen gemäß § 1.2</w:t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21 </w:t>
      </w:r>
      <w:sdt>
        <w:sdtPr>
          <w:rPr>
            <w:rFonts w:ascii="Arial" w:hAnsi="Arial" w:cs="Arial"/>
            <w:sz w:val="20"/>
            <w:szCs w:val="20"/>
          </w:rPr>
          <w:id w:val="2091036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Mitwirken bei der Baustellenkontrolle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22 </w:t>
      </w:r>
      <w:sdt>
        <w:sdtPr>
          <w:rPr>
            <w:rFonts w:ascii="Arial" w:hAnsi="Arial" w:cs="Arial"/>
            <w:sz w:val="20"/>
            <w:szCs w:val="20"/>
          </w:rPr>
          <w:id w:val="-910462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Messtechnisches Überprüfen der Qualität der</w:t>
      </w:r>
      <w:r>
        <w:rPr>
          <w:rFonts w:ascii="Arial" w:hAnsi="Arial" w:cs="Arial"/>
          <w:sz w:val="20"/>
          <w:szCs w:val="20"/>
        </w:rPr>
        <w:br/>
      </w:r>
      <w:r w:rsidRPr="00F37376">
        <w:rPr>
          <w:rFonts w:ascii="Arial" w:hAnsi="Arial" w:cs="Arial"/>
          <w:sz w:val="20"/>
          <w:szCs w:val="20"/>
        </w:rPr>
        <w:t>Bauausführung und von Bauteil- oder Raumeigenschaften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23 </w:t>
      </w:r>
      <w:sdt>
        <w:sdtPr>
          <w:rPr>
            <w:rFonts w:ascii="Arial" w:hAnsi="Arial" w:cs="Arial"/>
            <w:sz w:val="20"/>
            <w:szCs w:val="20"/>
          </w:rPr>
          <w:id w:val="-43603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Mitwirken bei Audits in Zertifizierungsprozessen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24 </w:t>
      </w:r>
      <w:sdt>
        <w:sdtPr>
          <w:rPr>
            <w:rFonts w:ascii="Arial" w:hAnsi="Arial" w:cs="Arial"/>
            <w:sz w:val="20"/>
            <w:szCs w:val="20"/>
          </w:rPr>
          <w:id w:val="384842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Auditorenleistungen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25 </w:t>
      </w:r>
      <w:sdt>
        <w:sdtPr>
          <w:rPr>
            <w:rFonts w:ascii="Arial" w:hAnsi="Arial" w:cs="Arial"/>
            <w:sz w:val="20"/>
            <w:szCs w:val="20"/>
          </w:rPr>
          <w:id w:val="1694110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  <w:r w:rsidRPr="00F37376">
        <w:rPr>
          <w:rFonts w:ascii="Arial" w:hAnsi="Arial" w:cs="Arial"/>
          <w:sz w:val="20"/>
          <w:szCs w:val="20"/>
        </w:rPr>
        <w:t>Energieberatung</w:t>
      </w:r>
      <w:r w:rsidR="00197F44">
        <w:rPr>
          <w:rFonts w:ascii="Arial" w:hAnsi="Arial" w:cs="Arial"/>
          <w:sz w:val="20"/>
          <w:szCs w:val="20"/>
        </w:rPr>
        <w:tab/>
      </w:r>
      <w:r w:rsidR="00197F44">
        <w:rPr>
          <w:rFonts w:ascii="Arial" w:hAnsi="Arial" w:cs="Arial"/>
          <w:sz w:val="20"/>
          <w:szCs w:val="20"/>
        </w:rPr>
        <w:tab/>
      </w:r>
      <w:r w:rsidR="009E5750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D7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26</w:t>
      </w:r>
      <w:r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405566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</w:p>
    <w:p w:rsidR="00F37376" w:rsidRPr="00F37376" w:rsidRDefault="00F37376" w:rsidP="00F37376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27</w:t>
      </w:r>
      <w:r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392120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</w:p>
    <w:p w:rsidR="00F37376" w:rsidRDefault="00F37376" w:rsidP="00F37376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28</w:t>
      </w:r>
      <w:r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50587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ab/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A65B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5B9BD5" w:themeColor="accent1"/>
          <w:sz w:val="20"/>
          <w:szCs w:val="20"/>
        </w:rPr>
      </w:pPr>
      <w:r w:rsidRPr="00A65B6A">
        <w:rPr>
          <w:rFonts w:ascii="Arial" w:hAnsi="Arial" w:cs="Arial"/>
          <w:b/>
          <w:bCs/>
          <w:color w:val="5B9BD5" w:themeColor="accent1"/>
          <w:sz w:val="20"/>
          <w:szCs w:val="20"/>
        </w:rPr>
        <w:t>§ 2 Stufenweise Beauftragung</w:t>
      </w:r>
    </w:p>
    <w:p w:rsidR="00A65B6A" w:rsidRPr="00A65B6A" w:rsidRDefault="00A65B6A" w:rsidP="00A65B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Soweit AG und AN sich in § 1.3 des Teils A dieses Ingenieurvertrags auf einen Stufenvertrag geeinigt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haben, sind die in § 1 angekreuzten Grund- und Besonderen Leistungen den folgenden Stufen zugeordnet: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1. Stufe:</w:t>
      </w:r>
    </w:p>
    <w:p w:rsidR="00F37376" w:rsidRPr="00F37376" w:rsidRDefault="00F37376" w:rsidP="006637FB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Ordnungsnummern:</w:t>
      </w:r>
      <w:r w:rsidR="00746FD0">
        <w:rPr>
          <w:rFonts w:ascii="Arial" w:hAnsi="Arial" w:cs="Arial"/>
          <w:sz w:val="20"/>
          <w:szCs w:val="20"/>
        </w:rPr>
        <w:t xml:space="preserve"> </w:t>
      </w:r>
      <w:r w:rsidR="006637FB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6637FB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2. Stufe:</w:t>
      </w:r>
    </w:p>
    <w:p w:rsidR="00F37376" w:rsidRPr="00F37376" w:rsidRDefault="00F37376" w:rsidP="006637FB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Ordnungsnummern:</w:t>
      </w:r>
      <w:r w:rsidR="00746FD0" w:rsidRPr="00746FD0">
        <w:rPr>
          <w:rFonts w:ascii="Arial" w:hAnsi="Arial" w:cs="Arial"/>
          <w:sz w:val="20"/>
          <w:szCs w:val="20"/>
        </w:rPr>
        <w:t xml:space="preserve"> </w:t>
      </w:r>
      <w:r w:rsidR="006637FB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6637FB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3. Stufe:</w:t>
      </w:r>
    </w:p>
    <w:p w:rsidR="00F37376" w:rsidRPr="00F37376" w:rsidRDefault="00F37376" w:rsidP="006637FB">
      <w:pPr>
        <w:tabs>
          <w:tab w:val="left" w:pos="850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Ordnungsnummern:</w:t>
      </w:r>
      <w:r w:rsidR="00746FD0">
        <w:rPr>
          <w:rFonts w:ascii="Arial" w:hAnsi="Arial" w:cs="Arial"/>
          <w:sz w:val="20"/>
          <w:szCs w:val="20"/>
        </w:rPr>
        <w:t xml:space="preserve"> </w:t>
      </w:r>
      <w:r w:rsidR="006637FB" w:rsidRPr="00E95537">
        <w:rPr>
          <w:shd w:val="clear" w:color="auto" w:fill="D9D9D9" w:themeFill="background1" w:themeFillShade="D9"/>
        </w:rPr>
        <w:tab/>
      </w:r>
    </w:p>
    <w:p w:rsidR="00746FD0" w:rsidRDefault="00746FD0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37376" w:rsidRPr="00746FD0" w:rsidRDefault="00F37376" w:rsidP="00746F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5B9BD5" w:themeColor="accent1"/>
          <w:sz w:val="20"/>
          <w:szCs w:val="20"/>
        </w:rPr>
      </w:pPr>
      <w:r w:rsidRPr="00746FD0">
        <w:rPr>
          <w:rFonts w:ascii="Arial" w:hAnsi="Arial" w:cs="Arial"/>
          <w:b/>
          <w:bCs/>
          <w:color w:val="5B9BD5" w:themeColor="accent1"/>
          <w:sz w:val="20"/>
          <w:szCs w:val="20"/>
        </w:rPr>
        <w:t>§ 3 Honorar des AN</w:t>
      </w:r>
    </w:p>
    <w:p w:rsidR="00746FD0" w:rsidRDefault="00746FD0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059753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Das Honorar wird nach Anlage 1 Ziff. 1.2 HOAI ermittelt. Die dazu notwendigen Festlegungen ergeben</w:t>
      </w:r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sich aus den nachfolgenden Ziffern 3.1 bis 3.4.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88002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797E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Das Honorar wird abweichend von Anlage 1 Ziff. 1.2 HOAI wie folgt ermittelt:</w:t>
      </w:r>
    </w:p>
    <w:p w:rsidR="00746FD0" w:rsidRDefault="00F67A08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E95537">
        <w:rPr>
          <w:shd w:val="clear" w:color="auto" w:fill="D9D9D9" w:themeFill="background1" w:themeFillShade="D9"/>
        </w:rPr>
        <w:tab/>
      </w:r>
    </w:p>
    <w:p w:rsidR="00746FD0" w:rsidRDefault="00746FD0" w:rsidP="00746FD0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3.1 Honorargrundlagen für Grundleistungen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Anrechenbare Kosten, Honorarzone und Honorarsatz werden für die Grundleistungen für Bauphysik wie</w:t>
      </w:r>
      <w:r w:rsidR="00746FD0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folgt vereinbart:</w:t>
      </w:r>
    </w:p>
    <w:p w:rsidR="00746FD0" w:rsidRDefault="00746FD0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3.1.1 Grundleistungen für Wärmeschutz und Energiebilanzierung (Anlage 1 Ziff.1.2.3 HOAI)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Honorarzone (nach § 35 HOAI):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11705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FD0">
        <w:rPr>
          <w:rFonts w:ascii="Arial" w:hAnsi="Arial" w:cs="Arial"/>
          <w:sz w:val="20"/>
          <w:szCs w:val="20"/>
        </w:rPr>
        <w:t xml:space="preserve"> </w:t>
      </w:r>
      <w:r w:rsidR="004A0942" w:rsidRPr="00E95537">
        <w:rPr>
          <w:shd w:val="clear" w:color="auto" w:fill="D9D9D9" w:themeFill="background1" w:themeFillShade="D9"/>
        </w:rPr>
        <w:tab/>
      </w:r>
      <w:r w:rsidR="00F37376" w:rsidRPr="00F37376">
        <w:rPr>
          <w:rFonts w:ascii="Arial" w:hAnsi="Arial" w:cs="Arial"/>
          <w:sz w:val="20"/>
          <w:szCs w:val="20"/>
        </w:rPr>
        <w:t>als vorläufige Festlegung (bis zum Feststehen aller für den Schwierigkeitsgrad maßgeblichen</w:t>
      </w:r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Bewertungsmerkmale)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9179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FD0">
        <w:rPr>
          <w:rFonts w:ascii="Arial" w:hAnsi="Arial" w:cs="Arial"/>
          <w:sz w:val="20"/>
          <w:szCs w:val="20"/>
        </w:rPr>
        <w:t xml:space="preserve"> </w:t>
      </w:r>
      <w:r w:rsidR="004A0942" w:rsidRPr="00E95537">
        <w:rPr>
          <w:shd w:val="clear" w:color="auto" w:fill="D9D9D9" w:themeFill="background1" w:themeFillShade="D9"/>
        </w:rPr>
        <w:tab/>
      </w:r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als abschließende Festlegung</w:t>
      </w:r>
    </w:p>
    <w:p w:rsidR="00746FD0" w:rsidRDefault="00746FD0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Anrechenbare Kosten (nach § 33 HOAI): </w:t>
      </w:r>
      <w:r w:rsidR="004A0942" w:rsidRPr="00E95537">
        <w:rPr>
          <w:shd w:val="clear" w:color="auto" w:fill="D9D9D9" w:themeFill="background1" w:themeFillShade="D9"/>
        </w:rPr>
        <w:tab/>
      </w:r>
      <w:r w:rsidR="00746FD0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€</w:t>
      </w:r>
    </w:p>
    <w:p w:rsidR="00746FD0" w:rsidRDefault="00746FD0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Honorarsatz: </w:t>
      </w:r>
      <w:r w:rsidR="004A0942" w:rsidRPr="00E95537">
        <w:rPr>
          <w:shd w:val="clear" w:color="auto" w:fill="D9D9D9" w:themeFill="background1" w:themeFillShade="D9"/>
        </w:rPr>
        <w:tab/>
      </w:r>
      <w:r w:rsidR="004A0942" w:rsidRPr="00F37376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(nach Anlage 1 Ziff. 1.2.3 Abs. 2 HOAI)</w:t>
      </w:r>
    </w:p>
    <w:p w:rsidR="00CD346C" w:rsidRPr="005E2EB8" w:rsidRDefault="0049034E" w:rsidP="00CD34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594523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D346C">
        <w:rPr>
          <w:rFonts w:ascii="Arial" w:hAnsi="Arial" w:cs="Arial"/>
          <w:sz w:val="20"/>
          <w:szCs w:val="20"/>
        </w:rPr>
        <w:t xml:space="preserve"> Zu- bzw. Abschlag in % </w:t>
      </w:r>
      <w:r w:rsidR="004A0942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BE2538">
      <w:pPr>
        <w:tabs>
          <w:tab w:val="left" w:pos="396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Zuschlag für Umbau/Modernisierung: </w:t>
      </w:r>
      <w:r w:rsidR="00C653CB" w:rsidRPr="00E95537">
        <w:rPr>
          <w:shd w:val="clear" w:color="auto" w:fill="D9D9D9" w:themeFill="background1" w:themeFillShade="D9"/>
        </w:rPr>
        <w:tab/>
      </w:r>
      <w:r w:rsidR="00746FD0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% (Anlage 1 Ziff. 1.2.3 Abs. 3 HOAI)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Unabhängig vom Umbauzuschlag werden anrechenbare Kosten aus vorhandener Bausubstanz gemäß</w:t>
      </w:r>
      <w:r w:rsidR="00746FD0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§</w:t>
      </w:r>
      <w:r w:rsidR="00746FD0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4 Abs. 3 HOAI</w:t>
      </w:r>
    </w:p>
    <w:p w:rsidR="00F37376" w:rsidRPr="00F37376" w:rsidRDefault="0049034E" w:rsidP="00BE253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56112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 xml:space="preserve">mit </w:t>
      </w:r>
      <w:r w:rsidR="00BE2538" w:rsidRPr="00E95537">
        <w:rPr>
          <w:shd w:val="clear" w:color="auto" w:fill="D9D9D9" w:themeFill="background1" w:themeFillShade="D9"/>
        </w:rPr>
        <w:tab/>
      </w:r>
      <w:r w:rsidR="00BE2538">
        <w:rPr>
          <w:shd w:val="clear" w:color="auto" w:fill="D9D9D9" w:themeFill="background1" w:themeFillShade="D9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€ festgelegt.</w:t>
      </w:r>
    </w:p>
    <w:p w:rsid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462539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noch einvernehmlich festgelegt.</w:t>
      </w:r>
    </w:p>
    <w:p w:rsidR="00746FD0" w:rsidRPr="00F37376" w:rsidRDefault="00746FD0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Nebenkosten: siehe Teil A § 4.4</w:t>
      </w:r>
    </w:p>
    <w:p w:rsidR="00746FD0" w:rsidRPr="00F37376" w:rsidRDefault="00746FD0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3.1.2 Grundleistungen für Bauakustik (Anlage 1 Ziff. 1.2.4 HOAI)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Honorarzone (nach Anlage 1 Ziff. 1.2.4 Abs. 5 und Abs. 7 HOAI):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27939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FD0">
        <w:rPr>
          <w:rFonts w:ascii="Arial" w:hAnsi="Arial" w:cs="Arial"/>
          <w:sz w:val="20"/>
          <w:szCs w:val="20"/>
        </w:rPr>
        <w:t xml:space="preserve"> </w:t>
      </w:r>
      <w:r w:rsidR="00BE2538" w:rsidRPr="00E95537">
        <w:rPr>
          <w:shd w:val="clear" w:color="auto" w:fill="D9D9D9" w:themeFill="background1" w:themeFillShade="D9"/>
        </w:rPr>
        <w:tab/>
      </w:r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als vorläufige Festlegung (bis zum Feststehen aller für den Schwierigkeitsgrad maßgeblichen</w:t>
      </w:r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Bewertungsmerkmale)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14295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FD0">
        <w:rPr>
          <w:rFonts w:ascii="Arial" w:hAnsi="Arial" w:cs="Arial"/>
          <w:sz w:val="20"/>
          <w:szCs w:val="20"/>
        </w:rPr>
        <w:t xml:space="preserve"> </w:t>
      </w:r>
      <w:r w:rsidR="00BE2538" w:rsidRPr="00E95537">
        <w:rPr>
          <w:shd w:val="clear" w:color="auto" w:fill="D9D9D9" w:themeFill="background1" w:themeFillShade="D9"/>
        </w:rPr>
        <w:tab/>
      </w:r>
      <w:r w:rsidR="00F37376" w:rsidRPr="00F37376">
        <w:rPr>
          <w:rFonts w:ascii="Arial" w:hAnsi="Arial" w:cs="Arial"/>
          <w:sz w:val="20"/>
          <w:szCs w:val="20"/>
        </w:rPr>
        <w:t>als abschließende Festlegung</w:t>
      </w:r>
    </w:p>
    <w:p w:rsidR="00F37376" w:rsidRPr="00F37376" w:rsidRDefault="00F37376" w:rsidP="00BE2538">
      <w:pPr>
        <w:tabs>
          <w:tab w:val="left" w:pos="6237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Anrechenbare Kosten (nach Anlage 1 Ziff. 1.2.4 Abs. 1 HOAI): </w:t>
      </w:r>
      <w:r w:rsidR="00BE2538" w:rsidRPr="00E95537">
        <w:rPr>
          <w:shd w:val="clear" w:color="auto" w:fill="D9D9D9" w:themeFill="background1" w:themeFillShade="D9"/>
        </w:rPr>
        <w:tab/>
      </w:r>
      <w:r w:rsidR="00746FD0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€</w:t>
      </w:r>
    </w:p>
    <w:p w:rsidR="00746FD0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Die Kosten für „besondere Bauausführungen“ sind den vorgenannten anrechenbaren Kosten (Anlage 1 Ziff.</w:t>
      </w:r>
      <w:r w:rsidR="00746FD0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1.2.4 Abs. 2 HOAI)</w:t>
      </w:r>
      <w:r w:rsidR="00746FD0">
        <w:rPr>
          <w:rFonts w:ascii="Arial" w:hAnsi="Arial" w:cs="Arial"/>
          <w:sz w:val="20"/>
          <w:szCs w:val="20"/>
        </w:rPr>
        <w:t xml:space="preserve"> 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63896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hinzuzufügen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03293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nicht hinzuzufügen</w:t>
      </w:r>
    </w:p>
    <w:p w:rsidR="00F37376" w:rsidRPr="00F37376" w:rsidRDefault="0049034E" w:rsidP="00BE2538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38701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0E9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 xml:space="preserve">mit </w:t>
      </w:r>
      <w:r w:rsidR="00BE2538" w:rsidRPr="00E95537">
        <w:rPr>
          <w:shd w:val="clear" w:color="auto" w:fill="D9D9D9" w:themeFill="background1" w:themeFillShade="D9"/>
        </w:rPr>
        <w:tab/>
      </w:r>
      <w:r w:rsidR="00746FD0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% hinzuzufügen</w:t>
      </w:r>
    </w:p>
    <w:p w:rsidR="00F37376" w:rsidRPr="00F37376" w:rsidRDefault="00F37376" w:rsidP="00BE2538">
      <w:pPr>
        <w:tabs>
          <w:tab w:val="left" w:pos="226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Honorarsatz: </w:t>
      </w:r>
      <w:r w:rsidR="00BE2538" w:rsidRPr="00E95537">
        <w:rPr>
          <w:shd w:val="clear" w:color="auto" w:fill="D9D9D9" w:themeFill="background1" w:themeFillShade="D9"/>
        </w:rPr>
        <w:tab/>
      </w:r>
      <w:r w:rsidR="00746FD0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(nach Anlage 1 Ziff. 1.2.4 Abs. 3 HOAI)</w:t>
      </w:r>
    </w:p>
    <w:p w:rsidR="00F37376" w:rsidRPr="00F37376" w:rsidRDefault="00F37376" w:rsidP="00BE2538">
      <w:pPr>
        <w:tabs>
          <w:tab w:val="left" w:pos="4253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 xml:space="preserve">Zuschlag für Umbau/Modernisierung: </w:t>
      </w:r>
      <w:r w:rsidR="00BE2538" w:rsidRPr="00E95537">
        <w:rPr>
          <w:shd w:val="clear" w:color="auto" w:fill="D9D9D9" w:themeFill="background1" w:themeFillShade="D9"/>
        </w:rPr>
        <w:tab/>
      </w:r>
      <w:r w:rsidRPr="00F37376">
        <w:rPr>
          <w:rFonts w:ascii="Arial" w:hAnsi="Arial" w:cs="Arial"/>
          <w:sz w:val="20"/>
          <w:szCs w:val="20"/>
        </w:rPr>
        <w:t>% (nach Anlage 1 Ziff. 1.2.4 Abs. 4 HOAI)</w:t>
      </w:r>
    </w:p>
    <w:p w:rsidR="00746FD0" w:rsidRDefault="00746FD0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Unabhängig vom Umbauzuschlag werden anrechenbare Kosten aus vorhandener Bausubstanz gemäß</w:t>
      </w:r>
      <w:r w:rsidR="008140E9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§</w:t>
      </w:r>
      <w:r w:rsidR="008140E9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4 Abs. 3 HOAI</w:t>
      </w:r>
    </w:p>
    <w:p w:rsidR="00F37376" w:rsidRPr="00F37376" w:rsidRDefault="0049034E" w:rsidP="00BE2538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933329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0E9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 xml:space="preserve">mit </w:t>
      </w:r>
      <w:r w:rsidR="00BE2538" w:rsidRPr="00E95537">
        <w:rPr>
          <w:shd w:val="clear" w:color="auto" w:fill="D9D9D9" w:themeFill="background1" w:themeFillShade="D9"/>
        </w:rPr>
        <w:tab/>
      </w:r>
      <w:r w:rsidR="00BE2538">
        <w:rPr>
          <w:shd w:val="clear" w:color="auto" w:fill="D9D9D9" w:themeFill="background1" w:themeFillShade="D9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€ festgelegt.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08814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0E9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noch einvernehmlich festgelegt.</w:t>
      </w: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Nebenkosten: siehe Teil A § 4.4</w:t>
      </w:r>
    </w:p>
    <w:p w:rsidR="008140E9" w:rsidRPr="00F37376" w:rsidRDefault="008140E9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7B07C4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lastRenderedPageBreak/>
        <w:t>3.1.3 Grundleistungen für Raumakustik (Anlage 1 Ziff. 1.2.5 HOAI)</w:t>
      </w:r>
    </w:p>
    <w:p w:rsidR="00F37376" w:rsidRPr="00F37376" w:rsidRDefault="00F37376" w:rsidP="007B07C4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Das Honorar ist für jeden Innenraum, für den die Grundleistungen für Raumakustik erbracht werden, zu</w:t>
      </w:r>
      <w:r w:rsidR="008140E9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berechnen (Anlage 1 Ziff. 1.2.5 Abs. 1 HOAI). Die Honorarberechnungsgrundlagen ergeben sich aus den</w:t>
      </w:r>
      <w:r w:rsidR="008140E9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nachfolgenden Festlegungen: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96613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0E9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Die Honorarberechnungsparameter werden für folgende Räume differenziert festgelegt:</w:t>
      </w:r>
    </w:p>
    <w:p w:rsidR="008140E9" w:rsidRDefault="008140E9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"/>
        <w:tblW w:w="9843" w:type="dxa"/>
        <w:tblLook w:val="04A0" w:firstRow="1" w:lastRow="0" w:firstColumn="1" w:lastColumn="0" w:noHBand="0" w:noVBand="1"/>
      </w:tblPr>
      <w:tblGrid>
        <w:gridCol w:w="1838"/>
        <w:gridCol w:w="907"/>
        <w:gridCol w:w="1928"/>
        <w:gridCol w:w="925"/>
        <w:gridCol w:w="925"/>
        <w:gridCol w:w="1506"/>
        <w:gridCol w:w="907"/>
        <w:gridCol w:w="907"/>
      </w:tblGrid>
      <w:tr w:rsidR="008140E9" w:rsidRPr="008140E9" w:rsidTr="008140E9">
        <w:tc>
          <w:tcPr>
            <w:tcW w:w="1838" w:type="dxa"/>
          </w:tcPr>
          <w:p w:rsidR="008140E9" w:rsidRP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</w:tcPr>
          <w:p w:rsidR="008140E9" w:rsidRP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8" w:type="dxa"/>
          </w:tcPr>
          <w:p w:rsidR="008140E9" w:rsidRP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0E9">
              <w:rPr>
                <w:rFonts w:ascii="Arial" w:hAnsi="Arial" w:cs="Arial"/>
                <w:b/>
                <w:bCs/>
                <w:sz w:val="16"/>
                <w:szCs w:val="16"/>
              </w:rPr>
              <w:t>Anrechenbare Kosten</w:t>
            </w:r>
          </w:p>
        </w:tc>
        <w:tc>
          <w:tcPr>
            <w:tcW w:w="925" w:type="dxa"/>
          </w:tcPr>
          <w:p w:rsidR="008140E9" w:rsidRP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5" w:type="dxa"/>
          </w:tcPr>
          <w:p w:rsidR="008140E9" w:rsidRP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06" w:type="dxa"/>
          </w:tcPr>
          <w:p w:rsidR="008140E9" w:rsidRP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</w:tcPr>
          <w:p w:rsidR="008140E9" w:rsidRP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7" w:type="dxa"/>
          </w:tcPr>
          <w:p w:rsidR="008140E9" w:rsidRP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140E9" w:rsidRPr="008140E9" w:rsidTr="008140E9">
        <w:tc>
          <w:tcPr>
            <w:tcW w:w="1838" w:type="dxa"/>
            <w:vAlign w:val="center"/>
          </w:tcPr>
          <w:p w:rsidR="008140E9" w:rsidRPr="008140E9" w:rsidRDefault="008140E9" w:rsidP="008140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0E9">
              <w:rPr>
                <w:rFonts w:ascii="Arial" w:hAnsi="Arial" w:cs="Arial"/>
                <w:b/>
                <w:bCs/>
                <w:sz w:val="16"/>
                <w:szCs w:val="16"/>
              </w:rPr>
              <w:t>Raumbezeichnung</w:t>
            </w:r>
          </w:p>
        </w:tc>
        <w:tc>
          <w:tcPr>
            <w:tcW w:w="907" w:type="dxa"/>
            <w:vAlign w:val="center"/>
          </w:tcPr>
          <w:p w:rsidR="008140E9" w:rsidRPr="008140E9" w:rsidRDefault="008140E9" w:rsidP="008140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0E9">
              <w:rPr>
                <w:rFonts w:ascii="Arial" w:hAnsi="Arial" w:cs="Arial"/>
                <w:b/>
                <w:bCs/>
                <w:sz w:val="16"/>
                <w:szCs w:val="16"/>
              </w:rPr>
              <w:t>Volumen (m³) vorläufig</w:t>
            </w:r>
          </w:p>
        </w:tc>
        <w:tc>
          <w:tcPr>
            <w:tcW w:w="1928" w:type="dxa"/>
            <w:vAlign w:val="center"/>
          </w:tcPr>
          <w:p w:rsidR="008140E9" w:rsidRPr="008140E9" w:rsidRDefault="008140E9" w:rsidP="008140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Pr="008140E9">
              <w:rPr>
                <w:rFonts w:ascii="Arial" w:hAnsi="Arial" w:cs="Arial"/>
                <w:b/>
                <w:bCs/>
                <w:sz w:val="16"/>
                <w:szCs w:val="16"/>
              </w:rPr>
              <w:t>ach Anlage 1 Ziff. 1.2.5 Abs. 2 HOAI</w:t>
            </w:r>
          </w:p>
        </w:tc>
        <w:tc>
          <w:tcPr>
            <w:tcW w:w="925" w:type="dxa"/>
            <w:vAlign w:val="center"/>
          </w:tcPr>
          <w:p w:rsidR="008140E9" w:rsidRPr="008140E9" w:rsidRDefault="008140E9" w:rsidP="008140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0E9">
              <w:rPr>
                <w:rFonts w:ascii="Arial" w:hAnsi="Arial" w:cs="Arial"/>
                <w:b/>
                <w:bCs/>
                <w:sz w:val="16"/>
                <w:szCs w:val="16"/>
              </w:rPr>
              <w:t>pauschal Kosten je m³</w:t>
            </w:r>
          </w:p>
        </w:tc>
        <w:tc>
          <w:tcPr>
            <w:tcW w:w="925" w:type="dxa"/>
            <w:vAlign w:val="center"/>
          </w:tcPr>
          <w:p w:rsidR="008140E9" w:rsidRPr="008140E9" w:rsidRDefault="008140E9" w:rsidP="008140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0E9">
              <w:rPr>
                <w:rFonts w:ascii="Arial" w:hAnsi="Arial" w:cs="Arial"/>
                <w:b/>
                <w:bCs/>
                <w:sz w:val="16"/>
                <w:szCs w:val="16"/>
              </w:rPr>
              <w:t>pauschal Kosten je Raum</w:t>
            </w:r>
          </w:p>
        </w:tc>
        <w:tc>
          <w:tcPr>
            <w:tcW w:w="1506" w:type="dxa"/>
            <w:vAlign w:val="center"/>
          </w:tcPr>
          <w:p w:rsidR="008140E9" w:rsidRPr="008140E9" w:rsidRDefault="008140E9" w:rsidP="008140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0E9">
              <w:rPr>
                <w:rFonts w:ascii="Arial" w:hAnsi="Arial" w:cs="Arial"/>
                <w:b/>
                <w:bCs/>
                <w:sz w:val="16"/>
                <w:szCs w:val="16"/>
              </w:rPr>
              <w:t>Zuschlag für Umbau/Moderni-sierung</w:t>
            </w:r>
          </w:p>
        </w:tc>
        <w:tc>
          <w:tcPr>
            <w:tcW w:w="907" w:type="dxa"/>
            <w:vAlign w:val="center"/>
          </w:tcPr>
          <w:p w:rsidR="008140E9" w:rsidRPr="008140E9" w:rsidRDefault="008140E9" w:rsidP="008140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0E9">
              <w:rPr>
                <w:rFonts w:ascii="Arial" w:hAnsi="Arial" w:cs="Arial"/>
                <w:b/>
                <w:bCs/>
                <w:sz w:val="16"/>
                <w:szCs w:val="16"/>
              </w:rPr>
              <w:t>Honorar-zone</w:t>
            </w:r>
          </w:p>
        </w:tc>
        <w:tc>
          <w:tcPr>
            <w:tcW w:w="907" w:type="dxa"/>
            <w:vAlign w:val="center"/>
          </w:tcPr>
          <w:p w:rsidR="008140E9" w:rsidRPr="008140E9" w:rsidRDefault="008140E9" w:rsidP="008140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40E9">
              <w:rPr>
                <w:rFonts w:ascii="Arial" w:hAnsi="Arial" w:cs="Arial"/>
                <w:b/>
                <w:bCs/>
                <w:sz w:val="16"/>
                <w:szCs w:val="16"/>
              </w:rPr>
              <w:t>Honorar-satz</w:t>
            </w:r>
          </w:p>
        </w:tc>
      </w:tr>
      <w:tr w:rsidR="008140E9" w:rsidTr="008140E9">
        <w:tc>
          <w:tcPr>
            <w:tcW w:w="183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40E9" w:rsidTr="008140E9">
        <w:tc>
          <w:tcPr>
            <w:tcW w:w="183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40E9" w:rsidTr="008140E9">
        <w:tc>
          <w:tcPr>
            <w:tcW w:w="183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40E9" w:rsidTr="008140E9">
        <w:tc>
          <w:tcPr>
            <w:tcW w:w="183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40E9" w:rsidTr="008140E9">
        <w:tc>
          <w:tcPr>
            <w:tcW w:w="183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40E9" w:rsidTr="008140E9">
        <w:tc>
          <w:tcPr>
            <w:tcW w:w="183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</w:tcPr>
          <w:p w:rsidR="008140E9" w:rsidRDefault="008140E9" w:rsidP="00F3737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140E9" w:rsidRDefault="008140E9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317E3D" w:rsidRPr="00317E3D" w:rsidRDefault="0049034E" w:rsidP="0010665B">
      <w:pPr>
        <w:pStyle w:val="Listenabsatz"/>
        <w:autoSpaceDE w:val="0"/>
        <w:autoSpaceDN w:val="0"/>
        <w:adjustRightInd w:val="0"/>
        <w:spacing w:after="0" w:line="360" w:lineRule="auto"/>
        <w:ind w:left="1276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48622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0665B">
        <w:rPr>
          <w:rFonts w:ascii="Arial" w:hAnsi="Arial" w:cs="Arial"/>
          <w:sz w:val="20"/>
          <w:szCs w:val="20"/>
        </w:rPr>
        <w:tab/>
      </w:r>
      <w:r w:rsidR="00F37376" w:rsidRPr="00F37376">
        <w:rPr>
          <w:rFonts w:ascii="Arial" w:hAnsi="Arial" w:cs="Arial"/>
          <w:sz w:val="20"/>
          <w:szCs w:val="20"/>
        </w:rPr>
        <w:t>Honorarzone und Honorarsatz werden für alle Räume wie folgt vereinbart:</w:t>
      </w:r>
      <w:r w:rsidR="00317E3D" w:rsidRPr="00317E3D">
        <w:rPr>
          <w:rFonts w:ascii="Arial" w:hAnsi="Arial" w:cs="Arial"/>
          <w:sz w:val="20"/>
          <w:szCs w:val="20"/>
        </w:rPr>
        <w:t xml:space="preserve"> </w:t>
      </w:r>
      <w:r w:rsidR="00317E3D">
        <w:rPr>
          <w:rFonts w:ascii="Arial" w:hAnsi="Arial" w:cs="Arial"/>
          <w:sz w:val="20"/>
          <w:szCs w:val="20"/>
        </w:rPr>
        <w:br/>
      </w:r>
      <w:r w:rsidR="00317E3D" w:rsidRPr="00317E3D">
        <w:rPr>
          <w:rFonts w:ascii="Arial" w:hAnsi="Arial" w:cs="Arial"/>
          <w:sz w:val="20"/>
          <w:szCs w:val="20"/>
        </w:rPr>
        <w:t>Honorarzone (Anlage 1.2.5 Abs. 5–7)</w:t>
      </w:r>
    </w:p>
    <w:p w:rsidR="00F37376" w:rsidRPr="0010665B" w:rsidRDefault="0049034E" w:rsidP="00AB3945">
      <w:pPr>
        <w:tabs>
          <w:tab w:val="left" w:pos="1701"/>
          <w:tab w:val="left" w:pos="2410"/>
        </w:tabs>
        <w:autoSpaceDE w:val="0"/>
        <w:autoSpaceDN w:val="0"/>
        <w:adjustRightInd w:val="0"/>
        <w:spacing w:after="0" w:line="360" w:lineRule="auto"/>
        <w:ind w:left="1701" w:hanging="425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469206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2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0665B">
        <w:rPr>
          <w:rFonts w:ascii="Arial" w:hAnsi="Arial" w:cs="Arial"/>
          <w:sz w:val="20"/>
          <w:szCs w:val="20"/>
        </w:rPr>
        <w:tab/>
      </w:r>
      <w:r w:rsidR="00AB3945" w:rsidRPr="00E95537">
        <w:rPr>
          <w:shd w:val="clear" w:color="auto" w:fill="D9D9D9" w:themeFill="background1" w:themeFillShade="D9"/>
        </w:rPr>
        <w:tab/>
      </w:r>
      <w:r w:rsidR="00317E3D" w:rsidRPr="0010665B">
        <w:rPr>
          <w:rFonts w:ascii="Arial" w:hAnsi="Arial" w:cs="Arial"/>
          <w:sz w:val="20"/>
          <w:szCs w:val="20"/>
        </w:rPr>
        <w:t xml:space="preserve"> </w:t>
      </w:r>
      <w:r w:rsidR="00F37376" w:rsidRPr="0010665B">
        <w:rPr>
          <w:rFonts w:ascii="Arial" w:hAnsi="Arial" w:cs="Arial"/>
          <w:sz w:val="20"/>
          <w:szCs w:val="20"/>
        </w:rPr>
        <w:t>als vorläufige Festlegung (bis zum Feststehen aller für den Schwierigkeitsgrad</w:t>
      </w:r>
      <w:r w:rsidR="00317E3D" w:rsidRPr="0010665B">
        <w:rPr>
          <w:rFonts w:ascii="Arial" w:hAnsi="Arial" w:cs="Arial"/>
          <w:sz w:val="20"/>
          <w:szCs w:val="20"/>
        </w:rPr>
        <w:t xml:space="preserve"> </w:t>
      </w:r>
      <w:r w:rsidR="00F37376" w:rsidRPr="0010665B">
        <w:rPr>
          <w:rFonts w:ascii="Arial" w:hAnsi="Arial" w:cs="Arial"/>
          <w:sz w:val="20"/>
          <w:szCs w:val="20"/>
        </w:rPr>
        <w:t>maßgeblichen Bewertungsmerkmale)</w:t>
      </w:r>
    </w:p>
    <w:p w:rsidR="00F37376" w:rsidRPr="00F37376" w:rsidRDefault="0049034E" w:rsidP="0010665B">
      <w:pPr>
        <w:autoSpaceDE w:val="0"/>
        <w:autoSpaceDN w:val="0"/>
        <w:adjustRightInd w:val="0"/>
        <w:spacing w:after="0" w:line="360" w:lineRule="auto"/>
        <w:ind w:left="127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03959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65B" w:rsidRPr="0010665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0665B">
        <w:rPr>
          <w:rFonts w:ascii="Arial" w:hAnsi="Arial" w:cs="Arial"/>
          <w:sz w:val="20"/>
          <w:szCs w:val="20"/>
        </w:rPr>
        <w:tab/>
      </w:r>
      <w:r w:rsidR="00AB3945" w:rsidRPr="00E95537">
        <w:rPr>
          <w:shd w:val="clear" w:color="auto" w:fill="D9D9D9" w:themeFill="background1" w:themeFillShade="D9"/>
        </w:rPr>
        <w:tab/>
      </w:r>
      <w:r w:rsidR="00317E3D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als abschließende Festlegung</w:t>
      </w:r>
    </w:p>
    <w:p w:rsidR="00317E3D" w:rsidRDefault="00317E3D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AB3945">
      <w:pPr>
        <w:tabs>
          <w:tab w:val="left" w:pos="198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Honorarsatz:</w:t>
      </w:r>
      <w:r w:rsidR="00317E3D">
        <w:rPr>
          <w:rFonts w:ascii="Arial" w:hAnsi="Arial" w:cs="Arial"/>
          <w:sz w:val="20"/>
          <w:szCs w:val="20"/>
        </w:rPr>
        <w:t xml:space="preserve"> </w:t>
      </w:r>
      <w:r w:rsidR="00AB3945" w:rsidRPr="00E95537">
        <w:rPr>
          <w:shd w:val="clear" w:color="auto" w:fill="D9D9D9" w:themeFill="background1" w:themeFillShade="D9"/>
        </w:rPr>
        <w:tab/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Unabhängig vom Umbauzuschlag werden anrechenbare Kosten aus vorhandener Bausubstanz gemäß</w:t>
      </w:r>
      <w:r w:rsidR="00317E3D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§</w:t>
      </w:r>
      <w:r w:rsidR="00317E3D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4 Abs. 3 HOAI</w:t>
      </w:r>
    </w:p>
    <w:p w:rsidR="00F37376" w:rsidRPr="00F37376" w:rsidRDefault="0049034E" w:rsidP="00AB3945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890695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2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17E3D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 xml:space="preserve">mit </w:t>
      </w:r>
      <w:r w:rsidR="00AB3945" w:rsidRPr="00E95537">
        <w:rPr>
          <w:shd w:val="clear" w:color="auto" w:fill="D9D9D9" w:themeFill="background1" w:themeFillShade="D9"/>
        </w:rPr>
        <w:tab/>
      </w:r>
      <w:r w:rsidR="00317E3D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€ festgelegt.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043592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2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17E3D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noch einvernehmlich festgelegt.</w:t>
      </w:r>
    </w:p>
    <w:p w:rsidR="00317E3D" w:rsidRDefault="00317E3D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Nebenkosten: siehe Teil A § 4.4</w:t>
      </w:r>
    </w:p>
    <w:p w:rsidR="00317E3D" w:rsidRDefault="00317E3D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3.2 Besondere Leistungen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Für die bereits beauftragten Besonderen Leistungen ist die Honorarhöhe in § 1.3 festgelegt:</w:t>
      </w:r>
    </w:p>
    <w:p w:rsidR="00A44B2E" w:rsidRDefault="00A44B2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Für Besondere Leistungen, die nachträglich beauftragt werden, werden AG und AN vor deren Beauftragung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eine gesonderte Vergütungsvereinbarung als Pauschale, als Stundensatz oder als Prozentsatz vom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Honorar für Leistungen gemäß §1.1 treffen.</w:t>
      </w:r>
    </w:p>
    <w:p w:rsidR="00A44B2E" w:rsidRPr="00F37376" w:rsidRDefault="00A44B2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3.3 Vergütung bei anrechenbaren Kosten außerhalb der Tafelwerte</w:t>
      </w:r>
    </w:p>
    <w:p w:rsidR="00F37376" w:rsidRPr="007B07C4" w:rsidRDefault="00F37376" w:rsidP="007B07C4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7B07C4">
        <w:rPr>
          <w:rFonts w:ascii="Arial" w:hAnsi="Arial" w:cs="Arial"/>
          <w:sz w:val="20"/>
          <w:szCs w:val="20"/>
        </w:rPr>
        <w:t>Da die anrechenbaren Kosten des Objekts außerhalb der Tafelwerte liegen, vereinbaren AG und AN die</w:t>
      </w:r>
      <w:r w:rsidR="00A44B2E" w:rsidRPr="007B07C4">
        <w:rPr>
          <w:rFonts w:ascii="Arial" w:hAnsi="Arial" w:cs="Arial"/>
          <w:sz w:val="20"/>
          <w:szCs w:val="20"/>
        </w:rPr>
        <w:t xml:space="preserve"> </w:t>
      </w:r>
      <w:r w:rsidRPr="007B07C4">
        <w:rPr>
          <w:rFonts w:ascii="Arial" w:hAnsi="Arial" w:cs="Arial"/>
          <w:sz w:val="20"/>
          <w:szCs w:val="20"/>
        </w:rPr>
        <w:t>Honorarhöhe wie folgt:</w:t>
      </w:r>
    </w:p>
    <w:p w:rsidR="00F37376" w:rsidRPr="00F37376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405839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2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7376" w:rsidRPr="00F37376">
        <w:rPr>
          <w:rFonts w:ascii="Arial" w:hAnsi="Arial" w:cs="Arial"/>
          <w:sz w:val="20"/>
          <w:szCs w:val="20"/>
        </w:rPr>
        <w:t>Sofern die anrechenbaren Kosten den untersten Tafelwert für die anrechenbaren Kosten unterschreiten,</w:t>
      </w:r>
    </w:p>
    <w:p w:rsidR="00F37376" w:rsidRDefault="0049034E" w:rsidP="00A44B2E">
      <w:pPr>
        <w:autoSpaceDE w:val="0"/>
        <w:autoSpaceDN w:val="0"/>
        <w:adjustRightInd w:val="0"/>
        <w:spacing w:after="0" w:line="360" w:lineRule="auto"/>
        <w:ind w:left="567" w:hanging="284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2038611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2A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A44B2E"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wird das Honorar wie folgt ermittelt:</w:t>
      </w:r>
    </w:p>
    <w:p w:rsidR="00A44B2E" w:rsidRDefault="00F67A08" w:rsidP="00F67A08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 w:rsidRPr="00E95537">
        <w:rPr>
          <w:shd w:val="clear" w:color="auto" w:fill="D9D9D9" w:themeFill="background1" w:themeFillShade="D9"/>
        </w:rPr>
        <w:tab/>
      </w:r>
    </w:p>
    <w:p w:rsidR="00A44B2E" w:rsidRDefault="00A44B2E" w:rsidP="00A44B2E">
      <w:pPr>
        <w:autoSpaceDE w:val="0"/>
        <w:autoSpaceDN w:val="0"/>
        <w:adjustRightInd w:val="0"/>
        <w:spacing w:after="0" w:line="360" w:lineRule="auto"/>
        <w:ind w:left="567" w:hanging="284"/>
        <w:rPr>
          <w:rFonts w:ascii="Arial" w:hAnsi="Arial" w:cs="Arial"/>
          <w:sz w:val="20"/>
          <w:szCs w:val="20"/>
        </w:rPr>
      </w:pPr>
    </w:p>
    <w:p w:rsidR="00A44B2E" w:rsidRDefault="00A44B2E" w:rsidP="00A44B2E">
      <w:pPr>
        <w:autoSpaceDE w:val="0"/>
        <w:autoSpaceDN w:val="0"/>
        <w:adjustRightInd w:val="0"/>
        <w:spacing w:after="0" w:line="360" w:lineRule="auto"/>
        <w:ind w:left="567" w:hanging="284"/>
        <w:rPr>
          <w:rFonts w:ascii="Arial" w:hAnsi="Arial" w:cs="Arial"/>
          <w:sz w:val="20"/>
          <w:szCs w:val="20"/>
        </w:rPr>
      </w:pPr>
    </w:p>
    <w:p w:rsidR="00A44B2E" w:rsidRDefault="00A44B2E" w:rsidP="00A44B2E">
      <w:pPr>
        <w:autoSpaceDE w:val="0"/>
        <w:autoSpaceDN w:val="0"/>
        <w:adjustRightInd w:val="0"/>
        <w:spacing w:after="0" w:line="360" w:lineRule="auto"/>
        <w:ind w:left="567" w:hanging="284"/>
        <w:rPr>
          <w:rFonts w:ascii="Arial" w:hAnsi="Arial" w:cs="Arial"/>
          <w:sz w:val="20"/>
          <w:szCs w:val="20"/>
        </w:rPr>
      </w:pPr>
    </w:p>
    <w:p w:rsidR="00F37376" w:rsidRPr="00F37376" w:rsidRDefault="00A44B2E" w:rsidP="00A44B2E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ind w:left="567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wird pauschal der unterste Tafelwert für die anrechenbaren Kosten der vereinbarten Honorarzone</w:t>
      </w:r>
      <w:r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zur Honorarermittlung herangezogen.</w:t>
      </w:r>
    </w:p>
    <w:p w:rsidR="00F37376" w:rsidRDefault="00A44B2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A8"/>
      </w:r>
      <w:r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Sofern die anrechenbaren Kosten den obersten Tafelwert für die anrechenbaren Kosten überschreiten,</w:t>
      </w:r>
      <w:r>
        <w:rPr>
          <w:rFonts w:ascii="Arial" w:hAnsi="Arial" w:cs="Arial"/>
          <w:sz w:val="20"/>
          <w:szCs w:val="20"/>
        </w:rPr>
        <w:t xml:space="preserve"> </w:t>
      </w:r>
      <w:r w:rsidR="00F37376" w:rsidRPr="00F37376">
        <w:rPr>
          <w:rFonts w:ascii="Arial" w:hAnsi="Arial" w:cs="Arial"/>
          <w:sz w:val="20"/>
          <w:szCs w:val="20"/>
        </w:rPr>
        <w:t>wird das Honorar wie folgt ermittelt:</w:t>
      </w:r>
    </w:p>
    <w:p w:rsidR="00A44B2E" w:rsidRDefault="00F67A08" w:rsidP="00F67A08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 w:rsidRPr="00E95537">
        <w:rPr>
          <w:shd w:val="clear" w:color="auto" w:fill="D9D9D9" w:themeFill="background1" w:themeFillShade="D9"/>
        </w:rPr>
        <w:tab/>
      </w:r>
    </w:p>
    <w:p w:rsidR="00F37376" w:rsidRDefault="00F37376" w:rsidP="007B07C4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Falls AG und AN zunächst davon ausgehen, dass die anrechenbaren Kosten des Objektes innerhalb der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Tafelwerte liegen, dies sich jedoch als unzutreffend herausstellt, vereinbaren AG und AN bereits jetzt die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Weitergeltung der Honorarparameter bzw. Vereinbarungen dieses Vertrages und die Fortschreibung der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anrechenbaren Kosten wie folgt:</w:t>
      </w:r>
    </w:p>
    <w:p w:rsidR="00A44B2E" w:rsidRPr="00F37376" w:rsidRDefault="00A44B2E" w:rsidP="00A44B2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A44B2E" w:rsidRDefault="00A44B2E" w:rsidP="00A44B2E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37376" w:rsidRPr="00F37376" w:rsidRDefault="00F37376" w:rsidP="00A44B2E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3.4 Fortschreibung der Kostenberechnung, Honorarzone bei Änderungen</w:t>
      </w:r>
    </w:p>
    <w:p w:rsidR="00F37376" w:rsidRDefault="00F37376" w:rsidP="007B07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Bei Änderungen oder Erweiterungen des Bauobjekts bzw. der Planungsvorgaben ist die Kostenberechnung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für die Honorarermittlung entsprechend fortzuschreiben. Der AG verpflichtet sich, den AN über derartige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Umstände zu informieren und dem AN auf Verlangen die maßgeblichen Unterlagen bzw. Nachweise bezüglich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der fortgeschriebenen Kostenberechnung oder die fortgeschriebene Kostenberechnung zukommen zu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lassen.</w:t>
      </w:r>
    </w:p>
    <w:p w:rsidR="00A44B2E" w:rsidRPr="00F37376" w:rsidRDefault="00A44B2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Soweit Änderungen erfolgen, die Auswirkungen auf die Planungsanforderungen haben, verpflichten sich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AG und AN zur Prüfung und bei gravierenden Abweichungen zur entsprechenden Änderung der vereinbarten</w:t>
      </w:r>
      <w:r w:rsidR="00A44B2E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Honorarzone.</w:t>
      </w:r>
    </w:p>
    <w:p w:rsidR="00A44B2E" w:rsidRPr="00F37376" w:rsidRDefault="00A44B2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§10 HOAI gilt im Übrigen entsprechend.</w:t>
      </w:r>
    </w:p>
    <w:p w:rsidR="00A44B2E" w:rsidRDefault="00A44B2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3.5 Planung auf Basis vorläufiger statt abgeschlossener Planungen des Objektplaners</w:t>
      </w:r>
    </w:p>
    <w:p w:rsidR="00F37376" w:rsidRPr="00F37376" w:rsidRDefault="00F37376" w:rsidP="007B07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Der AN erbringt seine Planungsleistungen grundsätzlich auf Basis abgeschlossener Planungen des Objektplaners.</w:t>
      </w:r>
    </w:p>
    <w:p w:rsidR="00F37376" w:rsidRPr="00F37376" w:rsidRDefault="00F37376" w:rsidP="007B07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Soweit dem AN aufgegeben wird, auf der Basis vorläufiger Pläne zu arbeiten, oder soweit Pläne</w:t>
      </w:r>
      <w:r w:rsidR="007B07C4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geändert werden, kann sich das Honorar entsprechend erhöhen (vgl. auch §4.2 des Teils A). Der AN ist in</w:t>
      </w:r>
      <w:r w:rsidR="007B07C4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diesem Fall berechtigt, den zusätzlichen Aufwand nach den vereinbarten Stundensätzen (Teil A, §</w:t>
      </w:r>
      <w:r w:rsidR="007B07C4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4.3)</w:t>
      </w:r>
      <w:r w:rsidR="007B07C4">
        <w:rPr>
          <w:rFonts w:ascii="Arial" w:hAnsi="Arial" w:cs="Arial"/>
          <w:sz w:val="20"/>
          <w:szCs w:val="20"/>
        </w:rPr>
        <w:t xml:space="preserve"> abzu</w:t>
      </w:r>
      <w:r w:rsidRPr="00F37376">
        <w:rPr>
          <w:rFonts w:ascii="Arial" w:hAnsi="Arial" w:cs="Arial"/>
          <w:sz w:val="20"/>
          <w:szCs w:val="20"/>
        </w:rPr>
        <w:t>rechnen.</w:t>
      </w:r>
    </w:p>
    <w:p w:rsidR="007B07C4" w:rsidRDefault="007B07C4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F37376" w:rsidRPr="00F37376" w:rsidRDefault="00F37376" w:rsidP="00B907E3">
      <w:pPr>
        <w:keepNext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lastRenderedPageBreak/>
        <w:t>§ 4 Planungsgrundlagen</w:t>
      </w: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AG und AN halten fest, dass als Grundlagen der Planung des AN folgende Unterlagen zu berücksichtigen</w:t>
      </w:r>
      <w:r w:rsidR="007B07C4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sind:</w:t>
      </w:r>
    </w:p>
    <w:p w:rsidR="007B07C4" w:rsidRPr="00F37376" w:rsidRDefault="007B07C4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bereits vorliegende Unterlagen:</w:t>
      </w:r>
    </w:p>
    <w:p w:rsidR="0049034E" w:rsidRDefault="0049034E" w:rsidP="0049034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 w:rsidRPr="00E95537">
        <w:rPr>
          <w:shd w:val="clear" w:color="auto" w:fill="D9D9D9" w:themeFill="background1" w:themeFillShade="D9"/>
        </w:rPr>
        <w:tab/>
      </w:r>
    </w:p>
    <w:p w:rsidR="007B07C4" w:rsidRDefault="007B07C4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7B07C4" w:rsidRDefault="007B07C4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7B07C4" w:rsidRPr="00F37376" w:rsidRDefault="007B07C4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Default="00F37376" w:rsidP="007B07C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noch nicht vorliegende Unterlagen:</w:t>
      </w:r>
    </w:p>
    <w:p w:rsidR="0049034E" w:rsidRDefault="0049034E" w:rsidP="0049034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 w:rsidRPr="00E95537">
        <w:rPr>
          <w:shd w:val="clear" w:color="auto" w:fill="D9D9D9" w:themeFill="background1" w:themeFillShade="D9"/>
        </w:rPr>
        <w:tab/>
      </w:r>
    </w:p>
    <w:p w:rsidR="007B07C4" w:rsidRDefault="007B07C4" w:rsidP="007B07C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7B07C4" w:rsidRDefault="007B07C4" w:rsidP="007B07C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7B07C4" w:rsidRPr="00F37376" w:rsidRDefault="007B07C4" w:rsidP="007B07C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F37376" w:rsidRPr="00F37376" w:rsidRDefault="00F37376" w:rsidP="007B07C4">
      <w:pPr>
        <w:pBdr>
          <w:top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Alle Planungsgrundlagen werden vom AG oder seinen Bevollmächtigten kostenlos zur Verfügung gestellt.</w:t>
      </w:r>
    </w:p>
    <w:p w:rsidR="00F37376" w:rsidRPr="00F37376" w:rsidRDefault="00F37376" w:rsidP="007B07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Sofern der AN besondere Unterlagen zur Bearbeitung benötigt und diese vom AG – nach vorheriger Mitteilung</w:t>
      </w:r>
      <w:r w:rsidR="007B07C4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– nicht zur Verfügung gestellt werden können, werden diese von AN beschafft und die hierfür entstehenden</w:t>
      </w:r>
      <w:r w:rsidR="007B07C4">
        <w:rPr>
          <w:rFonts w:ascii="Arial" w:hAnsi="Arial" w:cs="Arial"/>
          <w:sz w:val="20"/>
          <w:szCs w:val="20"/>
        </w:rPr>
        <w:t xml:space="preserve"> </w:t>
      </w:r>
      <w:r w:rsidRPr="00F37376">
        <w:rPr>
          <w:rFonts w:ascii="Arial" w:hAnsi="Arial" w:cs="Arial"/>
          <w:sz w:val="20"/>
          <w:szCs w:val="20"/>
        </w:rPr>
        <w:t>Kosten gegenüber dem AG abgerechnet.</w:t>
      </w:r>
    </w:p>
    <w:p w:rsidR="007B07C4" w:rsidRDefault="007B07C4" w:rsidP="007B07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F37376">
        <w:rPr>
          <w:rFonts w:ascii="Arial" w:hAnsi="Arial" w:cs="Arial"/>
          <w:b/>
          <w:bCs/>
          <w:sz w:val="20"/>
          <w:szCs w:val="20"/>
        </w:rPr>
        <w:t>§</w:t>
      </w:r>
      <w:r w:rsidR="007B07C4">
        <w:rPr>
          <w:rFonts w:ascii="Arial" w:hAnsi="Arial" w:cs="Arial"/>
          <w:b/>
          <w:bCs/>
          <w:sz w:val="20"/>
          <w:szCs w:val="20"/>
        </w:rPr>
        <w:t xml:space="preserve"> </w:t>
      </w:r>
      <w:r w:rsidRPr="00F37376">
        <w:rPr>
          <w:rFonts w:ascii="Arial" w:hAnsi="Arial" w:cs="Arial"/>
          <w:b/>
          <w:bCs/>
          <w:sz w:val="20"/>
          <w:szCs w:val="20"/>
        </w:rPr>
        <w:t>5 Sonstige Vereinbarungen</w:t>
      </w:r>
    </w:p>
    <w:p w:rsidR="00F37376" w:rsidRPr="00F37376" w:rsidRDefault="00F37376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F37376">
        <w:rPr>
          <w:rFonts w:ascii="Arial" w:hAnsi="Arial" w:cs="Arial"/>
          <w:sz w:val="20"/>
          <w:szCs w:val="20"/>
        </w:rPr>
        <w:t>AG und AN treffen folgende weitere Vereinbarungen:</w:t>
      </w:r>
    </w:p>
    <w:p w:rsidR="0049034E" w:rsidRDefault="0049034E" w:rsidP="0049034E">
      <w:pPr>
        <w:tabs>
          <w:tab w:val="left" w:pos="3686"/>
        </w:tabs>
        <w:autoSpaceDE w:val="0"/>
        <w:autoSpaceDN w:val="0"/>
        <w:adjustRightInd w:val="0"/>
        <w:spacing w:after="0" w:line="360" w:lineRule="auto"/>
        <w:ind w:firstLine="284"/>
        <w:rPr>
          <w:rFonts w:ascii="Arial" w:hAnsi="Arial" w:cs="Arial"/>
          <w:sz w:val="20"/>
          <w:szCs w:val="20"/>
        </w:rPr>
      </w:pPr>
      <w:r w:rsidRPr="00E95537">
        <w:rPr>
          <w:shd w:val="clear" w:color="auto" w:fill="D9D9D9" w:themeFill="background1" w:themeFillShade="D9"/>
        </w:rPr>
        <w:tab/>
      </w:r>
    </w:p>
    <w:p w:rsidR="007B07C4" w:rsidRDefault="007B07C4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49034E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49034E" w:rsidRDefault="0049034E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7B07C4" w:rsidRDefault="007B07C4" w:rsidP="00F3737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140BB7" w:rsidRDefault="00140BB7" w:rsidP="00140BB7">
      <w:pPr>
        <w:keepNext/>
        <w:keepLines/>
        <w:tabs>
          <w:tab w:val="left" w:pos="6237"/>
        </w:tabs>
        <w:autoSpaceDE w:val="0"/>
        <w:autoSpaceDN w:val="0"/>
        <w:adjustRightInd w:val="0"/>
        <w:spacing w:after="120" w:line="264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Ort, Datum </w:t>
      </w:r>
      <w:r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Ort, Datum</w:t>
      </w:r>
    </w:p>
    <w:p w:rsidR="00140BB7" w:rsidRDefault="00140BB7" w:rsidP="00140BB7">
      <w:pPr>
        <w:keepNext/>
        <w:keepLines/>
        <w:tabs>
          <w:tab w:val="left" w:pos="6237"/>
        </w:tabs>
        <w:autoSpaceDE w:val="0"/>
        <w:autoSpaceDN w:val="0"/>
        <w:adjustRightInd w:val="0"/>
        <w:spacing w:after="120" w:line="264" w:lineRule="auto"/>
        <w:rPr>
          <w:rFonts w:ascii="Arial" w:hAnsi="Arial" w:cs="Arial"/>
          <w:sz w:val="20"/>
          <w:szCs w:val="20"/>
        </w:rPr>
      </w:pPr>
    </w:p>
    <w:p w:rsidR="00140BB7" w:rsidRDefault="00140BB7" w:rsidP="00140BB7">
      <w:pPr>
        <w:keepNext/>
        <w:keepLines/>
        <w:tabs>
          <w:tab w:val="left" w:pos="6237"/>
        </w:tabs>
        <w:autoSpaceDE w:val="0"/>
        <w:autoSpaceDN w:val="0"/>
        <w:adjustRightInd w:val="0"/>
        <w:spacing w:after="120" w:line="264" w:lineRule="auto"/>
        <w:rPr>
          <w:rFonts w:ascii="Arial" w:hAnsi="Arial" w:cs="Arial"/>
          <w:sz w:val="20"/>
          <w:szCs w:val="20"/>
        </w:rPr>
      </w:pPr>
    </w:p>
    <w:p w:rsidR="00140BB7" w:rsidRDefault="00140BB7" w:rsidP="00140BB7">
      <w:pPr>
        <w:keepNext/>
        <w:keepLines/>
        <w:tabs>
          <w:tab w:val="left" w:pos="6237"/>
        </w:tabs>
        <w:autoSpaceDE w:val="0"/>
        <w:autoSpaceDN w:val="0"/>
        <w:adjustRightInd w:val="0"/>
        <w:spacing w:after="120" w:line="264" w:lineRule="auto"/>
        <w:rPr>
          <w:rFonts w:ascii="Arial" w:hAnsi="Arial" w:cs="Arial"/>
          <w:sz w:val="20"/>
          <w:szCs w:val="20"/>
        </w:rPr>
      </w:pPr>
    </w:p>
    <w:p w:rsidR="00140BB7" w:rsidRPr="005E2EB8" w:rsidRDefault="00140BB7" w:rsidP="00140BB7">
      <w:pPr>
        <w:keepNext/>
        <w:keepLines/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</w:t>
      </w:r>
      <w:r>
        <w:rPr>
          <w:rFonts w:ascii="Arial" w:hAnsi="Arial" w:cs="Arial"/>
          <w:sz w:val="20"/>
          <w:szCs w:val="20"/>
        </w:rPr>
        <w:tab/>
        <w:t>______________________</w:t>
      </w:r>
    </w:p>
    <w:p w:rsidR="00055607" w:rsidRPr="00F37376" w:rsidRDefault="00140BB7" w:rsidP="00140BB7">
      <w:pPr>
        <w:keepNext/>
        <w:keepLines/>
        <w:tabs>
          <w:tab w:val="left" w:pos="6237"/>
        </w:tabs>
        <w:spacing w:after="120" w:line="264" w:lineRule="auto"/>
        <w:rPr>
          <w:rFonts w:ascii="Arial" w:hAnsi="Arial" w:cs="Arial"/>
          <w:sz w:val="20"/>
          <w:szCs w:val="20"/>
        </w:rPr>
      </w:pPr>
      <w:r w:rsidRPr="005E2EB8">
        <w:rPr>
          <w:rFonts w:ascii="Arial" w:hAnsi="Arial" w:cs="Arial"/>
          <w:sz w:val="20"/>
          <w:szCs w:val="20"/>
        </w:rPr>
        <w:t xml:space="preserve">für den AG </w:t>
      </w:r>
      <w:r>
        <w:rPr>
          <w:rFonts w:ascii="Arial" w:hAnsi="Arial" w:cs="Arial"/>
          <w:sz w:val="20"/>
          <w:szCs w:val="20"/>
        </w:rPr>
        <w:tab/>
      </w:r>
      <w:r w:rsidRPr="005E2EB8">
        <w:rPr>
          <w:rFonts w:ascii="Arial" w:hAnsi="Arial" w:cs="Arial"/>
          <w:sz w:val="20"/>
          <w:szCs w:val="20"/>
        </w:rPr>
        <w:t>für den AN</w:t>
      </w:r>
    </w:p>
    <w:sectPr w:rsidR="00055607" w:rsidRPr="00F37376" w:rsidSect="00CD346C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E53" w:rsidRDefault="009F0E53" w:rsidP="00F37376">
      <w:pPr>
        <w:spacing w:after="0" w:line="240" w:lineRule="auto"/>
      </w:pPr>
      <w:r>
        <w:separator/>
      </w:r>
    </w:p>
  </w:endnote>
  <w:endnote w:type="continuationSeparator" w:id="0">
    <w:p w:rsidR="009F0E53" w:rsidRDefault="009F0E53" w:rsidP="00F37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E53" w:rsidRDefault="009F0E53" w:rsidP="00F37376">
      <w:pPr>
        <w:spacing w:after="0" w:line="240" w:lineRule="auto"/>
      </w:pPr>
      <w:r>
        <w:separator/>
      </w:r>
    </w:p>
  </w:footnote>
  <w:footnote w:type="continuationSeparator" w:id="0">
    <w:p w:rsidR="009F0E53" w:rsidRDefault="009F0E53" w:rsidP="00F37376">
      <w:pPr>
        <w:spacing w:after="0" w:line="240" w:lineRule="auto"/>
      </w:pPr>
      <w:r>
        <w:continuationSeparator/>
      </w:r>
    </w:p>
  </w:footnote>
  <w:footnote w:id="1">
    <w:p w:rsidR="00F37376" w:rsidRPr="00F37376" w:rsidRDefault="00F37376">
      <w:pPr>
        <w:pStyle w:val="Funotentext"/>
        <w:rPr>
          <w:rFonts w:ascii="Arial" w:hAnsi="Arial" w:cs="Arial"/>
        </w:rPr>
      </w:pPr>
      <w:r>
        <w:rPr>
          <w:rStyle w:val="Funotenzeichen"/>
        </w:rPr>
        <w:footnoteRef/>
      </w:r>
      <w:r>
        <w:t xml:space="preserve"> </w:t>
      </w:r>
      <w:r w:rsidRPr="008F1637">
        <w:rPr>
          <w:rFonts w:ascii="Arial" w:hAnsi="Arial" w:cs="Arial"/>
          <w:sz w:val="18"/>
          <w:szCs w:val="18"/>
        </w:rPr>
        <w:t>Die Leistungen unterliegen</w:t>
      </w:r>
      <w:r w:rsidRPr="008F1637">
        <w:rPr>
          <w:sz w:val="18"/>
          <w:szCs w:val="18"/>
        </w:rPr>
        <w:t xml:space="preserve"> </w:t>
      </w:r>
      <w:r w:rsidRPr="008F1637">
        <w:rPr>
          <w:rFonts w:ascii="Arial" w:hAnsi="Arial" w:cs="Arial"/>
          <w:sz w:val="18"/>
          <w:szCs w:val="18"/>
        </w:rPr>
        <w:t>als besondere Leistungen nicht dem Preisrecht der HOAI. Sämtliche nachfolgend aufgeführten Honorargrundlagen sind Vorschläge zur angemessenen und transparenten Vereinbarung von Berechnungshonoraren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CD346C" w:rsidRPr="00CD346C" w:rsidRDefault="00CD346C">
        <w:pPr>
          <w:pStyle w:val="Kopfzeile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-</w:t>
        </w:r>
        <w:r w:rsidRPr="00CD346C">
          <w:rPr>
            <w:rFonts w:ascii="Arial" w:hAnsi="Arial" w:cs="Arial"/>
            <w:sz w:val="20"/>
            <w:szCs w:val="20"/>
          </w:rPr>
          <w:t xml:space="preserve"> </w:t>
        </w:r>
        <w:r w:rsidRPr="00CD346C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CD346C">
          <w:rPr>
            <w:rFonts w:ascii="Arial" w:hAnsi="Arial" w:cs="Arial"/>
            <w:bCs/>
            <w:sz w:val="20"/>
            <w:szCs w:val="20"/>
          </w:rPr>
          <w:instrText>PAGE</w:instrText>
        </w:r>
        <w:r w:rsidRPr="00CD346C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49034E">
          <w:rPr>
            <w:rFonts w:ascii="Arial" w:hAnsi="Arial" w:cs="Arial"/>
            <w:bCs/>
            <w:noProof/>
            <w:sz w:val="20"/>
            <w:szCs w:val="20"/>
          </w:rPr>
          <w:t>6</w:t>
        </w:r>
        <w:r w:rsidRPr="00CD346C">
          <w:rPr>
            <w:rFonts w:ascii="Arial" w:hAnsi="Arial" w:cs="Arial"/>
            <w:bCs/>
            <w:sz w:val="20"/>
            <w:szCs w:val="20"/>
          </w:rPr>
          <w:fldChar w:fldCharType="end"/>
        </w:r>
        <w:r>
          <w:rPr>
            <w:rFonts w:ascii="Arial" w:hAnsi="Arial" w:cs="Arial"/>
            <w:sz w:val="20"/>
            <w:szCs w:val="20"/>
          </w:rPr>
          <w:t xml:space="preserve"> /</w:t>
        </w:r>
        <w:r w:rsidRPr="00CD346C">
          <w:rPr>
            <w:rFonts w:ascii="Arial" w:hAnsi="Arial" w:cs="Arial"/>
            <w:sz w:val="20"/>
            <w:szCs w:val="20"/>
          </w:rPr>
          <w:t xml:space="preserve"> </w:t>
        </w:r>
        <w:r w:rsidRPr="00CD346C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CD346C">
          <w:rPr>
            <w:rFonts w:ascii="Arial" w:hAnsi="Arial" w:cs="Arial"/>
            <w:bCs/>
            <w:sz w:val="20"/>
            <w:szCs w:val="20"/>
          </w:rPr>
          <w:instrText>NUMPAGES</w:instrText>
        </w:r>
        <w:r w:rsidRPr="00CD346C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49034E">
          <w:rPr>
            <w:rFonts w:ascii="Arial" w:hAnsi="Arial" w:cs="Arial"/>
            <w:bCs/>
            <w:noProof/>
            <w:sz w:val="20"/>
            <w:szCs w:val="20"/>
          </w:rPr>
          <w:t>7</w:t>
        </w:r>
        <w:r w:rsidRPr="00CD346C">
          <w:rPr>
            <w:rFonts w:ascii="Arial" w:hAnsi="Arial" w:cs="Arial"/>
            <w:bCs/>
            <w:sz w:val="20"/>
            <w:szCs w:val="20"/>
          </w:rPr>
          <w:fldChar w:fldCharType="end"/>
        </w:r>
        <w:r>
          <w:rPr>
            <w:rFonts w:ascii="Arial" w:hAnsi="Arial" w:cs="Arial"/>
            <w:bCs/>
            <w:sz w:val="20"/>
            <w:szCs w:val="20"/>
          </w:rPr>
          <w:t xml:space="preserve"> -</w:t>
        </w:r>
      </w:p>
    </w:sdtContent>
  </w:sdt>
  <w:p w:rsidR="00CD346C" w:rsidRDefault="00CD346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F0D"/>
    <w:multiLevelType w:val="hybridMultilevel"/>
    <w:tmpl w:val="E1109FD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C6829"/>
    <w:multiLevelType w:val="hybridMultilevel"/>
    <w:tmpl w:val="75084A06"/>
    <w:lvl w:ilvl="0" w:tplc="868AF58A">
      <w:start w:val="3"/>
      <w:numFmt w:val="bullet"/>
      <w:lvlText w:val=""/>
      <w:lvlJc w:val="left"/>
      <w:pPr>
        <w:ind w:left="502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2" w15:restartNumberingAfterBreak="0">
    <w:nsid w:val="521538DB"/>
    <w:multiLevelType w:val="hybridMultilevel"/>
    <w:tmpl w:val="1C22A4E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4/19"/>
    <w:docVar w:name="Bemerkung" w:val="Teil B5 Detaillierte Regelungen für den Leistungsbereich Bauphysik"/>
    <w:docVar w:name="DDNr" w:val="D18/D384-20"/>
    <w:docVar w:name="DDNummerPH" w:val="fehlt"/>
    <w:docVar w:name="DMSunterordner" w:val="78579"/>
    <w:docVar w:name="EAStatus" w:val="0"/>
    <w:docVar w:name="RADKS" w:val="#;$a;@"/>
    <w:docVar w:name="Rubrik" w:val="solleer"/>
    <w:docVar w:name="Schlagwort" w:val="solleer"/>
  </w:docVars>
  <w:rsids>
    <w:rsidRoot w:val="00423BE4"/>
    <w:rsid w:val="0001306D"/>
    <w:rsid w:val="00023C3A"/>
    <w:rsid w:val="00025C03"/>
    <w:rsid w:val="00027BD8"/>
    <w:rsid w:val="00033874"/>
    <w:rsid w:val="00033EDF"/>
    <w:rsid w:val="00036148"/>
    <w:rsid w:val="00043A2F"/>
    <w:rsid w:val="00051D16"/>
    <w:rsid w:val="00054806"/>
    <w:rsid w:val="00054B5D"/>
    <w:rsid w:val="00055607"/>
    <w:rsid w:val="000600F1"/>
    <w:rsid w:val="000643CE"/>
    <w:rsid w:val="00066F2B"/>
    <w:rsid w:val="0007058F"/>
    <w:rsid w:val="00070BB4"/>
    <w:rsid w:val="0007117B"/>
    <w:rsid w:val="000744C1"/>
    <w:rsid w:val="00092DA9"/>
    <w:rsid w:val="00095B56"/>
    <w:rsid w:val="000A2C27"/>
    <w:rsid w:val="000B3AF5"/>
    <w:rsid w:val="000D6482"/>
    <w:rsid w:val="000F2F41"/>
    <w:rsid w:val="000F5268"/>
    <w:rsid w:val="0010665B"/>
    <w:rsid w:val="0011378A"/>
    <w:rsid w:val="00114E89"/>
    <w:rsid w:val="00140BB7"/>
    <w:rsid w:val="00140C0D"/>
    <w:rsid w:val="0014118C"/>
    <w:rsid w:val="0014355B"/>
    <w:rsid w:val="00155210"/>
    <w:rsid w:val="001576A5"/>
    <w:rsid w:val="00165A2E"/>
    <w:rsid w:val="0019094C"/>
    <w:rsid w:val="00192FE6"/>
    <w:rsid w:val="001974DE"/>
    <w:rsid w:val="00197F44"/>
    <w:rsid w:val="001A5FD5"/>
    <w:rsid w:val="001B13EB"/>
    <w:rsid w:val="001B7223"/>
    <w:rsid w:val="001B7C9D"/>
    <w:rsid w:val="001C5296"/>
    <w:rsid w:val="001D0546"/>
    <w:rsid w:val="001D40A5"/>
    <w:rsid w:val="001D7E03"/>
    <w:rsid w:val="001E32F2"/>
    <w:rsid w:val="001E391F"/>
    <w:rsid w:val="001E581E"/>
    <w:rsid w:val="001F3F97"/>
    <w:rsid w:val="00204316"/>
    <w:rsid w:val="002054DF"/>
    <w:rsid w:val="00206817"/>
    <w:rsid w:val="00221457"/>
    <w:rsid w:val="00223B76"/>
    <w:rsid w:val="0025039E"/>
    <w:rsid w:val="00257F59"/>
    <w:rsid w:val="00266211"/>
    <w:rsid w:val="00272720"/>
    <w:rsid w:val="002732ED"/>
    <w:rsid w:val="00280D6D"/>
    <w:rsid w:val="002846C4"/>
    <w:rsid w:val="00292022"/>
    <w:rsid w:val="002A00C3"/>
    <w:rsid w:val="002A1704"/>
    <w:rsid w:val="002A47EE"/>
    <w:rsid w:val="002B2E9A"/>
    <w:rsid w:val="002B6FC8"/>
    <w:rsid w:val="002C7835"/>
    <w:rsid w:val="002D22F9"/>
    <w:rsid w:val="002E2601"/>
    <w:rsid w:val="002F092B"/>
    <w:rsid w:val="00300968"/>
    <w:rsid w:val="00315D48"/>
    <w:rsid w:val="00317E3D"/>
    <w:rsid w:val="00335D27"/>
    <w:rsid w:val="00337133"/>
    <w:rsid w:val="003424A2"/>
    <w:rsid w:val="00343671"/>
    <w:rsid w:val="0034544C"/>
    <w:rsid w:val="00345CCC"/>
    <w:rsid w:val="00350B33"/>
    <w:rsid w:val="00352B94"/>
    <w:rsid w:val="0035324C"/>
    <w:rsid w:val="0037631A"/>
    <w:rsid w:val="0038265C"/>
    <w:rsid w:val="00386F81"/>
    <w:rsid w:val="0039067B"/>
    <w:rsid w:val="003A10D4"/>
    <w:rsid w:val="003A2144"/>
    <w:rsid w:val="003A6195"/>
    <w:rsid w:val="003A66EE"/>
    <w:rsid w:val="003B114C"/>
    <w:rsid w:val="003C1296"/>
    <w:rsid w:val="003C39ED"/>
    <w:rsid w:val="003C4CF5"/>
    <w:rsid w:val="003E2EE8"/>
    <w:rsid w:val="00401881"/>
    <w:rsid w:val="004042E8"/>
    <w:rsid w:val="00407CD7"/>
    <w:rsid w:val="00421100"/>
    <w:rsid w:val="0042218F"/>
    <w:rsid w:val="00423BE4"/>
    <w:rsid w:val="004250AC"/>
    <w:rsid w:val="0042775A"/>
    <w:rsid w:val="004404D0"/>
    <w:rsid w:val="00443A05"/>
    <w:rsid w:val="00445ED3"/>
    <w:rsid w:val="00452974"/>
    <w:rsid w:val="00461F48"/>
    <w:rsid w:val="004628B8"/>
    <w:rsid w:val="00462A82"/>
    <w:rsid w:val="004735A2"/>
    <w:rsid w:val="00474586"/>
    <w:rsid w:val="0047675C"/>
    <w:rsid w:val="00476E33"/>
    <w:rsid w:val="00477ED0"/>
    <w:rsid w:val="00482A81"/>
    <w:rsid w:val="00487E9D"/>
    <w:rsid w:val="0049034E"/>
    <w:rsid w:val="004949B0"/>
    <w:rsid w:val="004A0942"/>
    <w:rsid w:val="004B4E1B"/>
    <w:rsid w:val="004B537F"/>
    <w:rsid w:val="004C71C3"/>
    <w:rsid w:val="004C7A66"/>
    <w:rsid w:val="004D2A3B"/>
    <w:rsid w:val="004F0690"/>
    <w:rsid w:val="004F38C5"/>
    <w:rsid w:val="0050603B"/>
    <w:rsid w:val="005061A1"/>
    <w:rsid w:val="00513B46"/>
    <w:rsid w:val="00515A09"/>
    <w:rsid w:val="00515B6F"/>
    <w:rsid w:val="0052272E"/>
    <w:rsid w:val="00534E3B"/>
    <w:rsid w:val="0054203C"/>
    <w:rsid w:val="005446B6"/>
    <w:rsid w:val="00545151"/>
    <w:rsid w:val="0054737F"/>
    <w:rsid w:val="00550977"/>
    <w:rsid w:val="00553B1E"/>
    <w:rsid w:val="00565E42"/>
    <w:rsid w:val="00587D38"/>
    <w:rsid w:val="0059112C"/>
    <w:rsid w:val="00591355"/>
    <w:rsid w:val="0059138E"/>
    <w:rsid w:val="005A2C48"/>
    <w:rsid w:val="005C1425"/>
    <w:rsid w:val="005C2B15"/>
    <w:rsid w:val="005C3528"/>
    <w:rsid w:val="005C769D"/>
    <w:rsid w:val="005E40CF"/>
    <w:rsid w:val="005F5528"/>
    <w:rsid w:val="00602062"/>
    <w:rsid w:val="0061035C"/>
    <w:rsid w:val="006114FF"/>
    <w:rsid w:val="00612858"/>
    <w:rsid w:val="00620E0C"/>
    <w:rsid w:val="00632CB7"/>
    <w:rsid w:val="00643FEF"/>
    <w:rsid w:val="006472AA"/>
    <w:rsid w:val="00653263"/>
    <w:rsid w:val="006636E0"/>
    <w:rsid w:val="006637FB"/>
    <w:rsid w:val="006820CC"/>
    <w:rsid w:val="00683429"/>
    <w:rsid w:val="00695006"/>
    <w:rsid w:val="00697FDA"/>
    <w:rsid w:val="006D091D"/>
    <w:rsid w:val="006D1EA8"/>
    <w:rsid w:val="006D5416"/>
    <w:rsid w:val="006E1B38"/>
    <w:rsid w:val="006E2B5F"/>
    <w:rsid w:val="006F1830"/>
    <w:rsid w:val="007101A9"/>
    <w:rsid w:val="00724499"/>
    <w:rsid w:val="00724FD2"/>
    <w:rsid w:val="007251C0"/>
    <w:rsid w:val="0074015A"/>
    <w:rsid w:val="00744EA1"/>
    <w:rsid w:val="00746FD0"/>
    <w:rsid w:val="007504F6"/>
    <w:rsid w:val="00751128"/>
    <w:rsid w:val="00751765"/>
    <w:rsid w:val="00761DC1"/>
    <w:rsid w:val="0076379A"/>
    <w:rsid w:val="007845AD"/>
    <w:rsid w:val="00785824"/>
    <w:rsid w:val="00791BEB"/>
    <w:rsid w:val="007A45BE"/>
    <w:rsid w:val="007A4F42"/>
    <w:rsid w:val="007A6050"/>
    <w:rsid w:val="007A66A7"/>
    <w:rsid w:val="007B07C4"/>
    <w:rsid w:val="007B7537"/>
    <w:rsid w:val="007C1323"/>
    <w:rsid w:val="007C44D0"/>
    <w:rsid w:val="007D0468"/>
    <w:rsid w:val="007D1151"/>
    <w:rsid w:val="007E618C"/>
    <w:rsid w:val="007F4087"/>
    <w:rsid w:val="008106FF"/>
    <w:rsid w:val="008140E9"/>
    <w:rsid w:val="00815E4B"/>
    <w:rsid w:val="0082228B"/>
    <w:rsid w:val="0082230C"/>
    <w:rsid w:val="008378D8"/>
    <w:rsid w:val="0085603A"/>
    <w:rsid w:val="00856FE1"/>
    <w:rsid w:val="00897BD4"/>
    <w:rsid w:val="008A0ED3"/>
    <w:rsid w:val="008C0710"/>
    <w:rsid w:val="008C5BE7"/>
    <w:rsid w:val="008C5EF3"/>
    <w:rsid w:val="008D7E48"/>
    <w:rsid w:val="008F1637"/>
    <w:rsid w:val="008F28F2"/>
    <w:rsid w:val="008F50B9"/>
    <w:rsid w:val="008F6030"/>
    <w:rsid w:val="008F7733"/>
    <w:rsid w:val="00902B37"/>
    <w:rsid w:val="00905D2A"/>
    <w:rsid w:val="00917E7A"/>
    <w:rsid w:val="00922100"/>
    <w:rsid w:val="009243F0"/>
    <w:rsid w:val="009330E6"/>
    <w:rsid w:val="00962B28"/>
    <w:rsid w:val="00964502"/>
    <w:rsid w:val="00971268"/>
    <w:rsid w:val="00972D4A"/>
    <w:rsid w:val="00973354"/>
    <w:rsid w:val="009772F3"/>
    <w:rsid w:val="00977AA3"/>
    <w:rsid w:val="00980140"/>
    <w:rsid w:val="00981B57"/>
    <w:rsid w:val="00982EBE"/>
    <w:rsid w:val="00986A50"/>
    <w:rsid w:val="00995711"/>
    <w:rsid w:val="009A3790"/>
    <w:rsid w:val="009A6EBB"/>
    <w:rsid w:val="009D1E12"/>
    <w:rsid w:val="009D495B"/>
    <w:rsid w:val="009E5750"/>
    <w:rsid w:val="009E66D8"/>
    <w:rsid w:val="009F0E53"/>
    <w:rsid w:val="009F1FFE"/>
    <w:rsid w:val="009F392E"/>
    <w:rsid w:val="009F3FB3"/>
    <w:rsid w:val="009F4B77"/>
    <w:rsid w:val="009F5B1E"/>
    <w:rsid w:val="00A16DA4"/>
    <w:rsid w:val="00A1712F"/>
    <w:rsid w:val="00A21A19"/>
    <w:rsid w:val="00A2440C"/>
    <w:rsid w:val="00A27262"/>
    <w:rsid w:val="00A35545"/>
    <w:rsid w:val="00A4382D"/>
    <w:rsid w:val="00A44B2E"/>
    <w:rsid w:val="00A4782D"/>
    <w:rsid w:val="00A54D83"/>
    <w:rsid w:val="00A5797E"/>
    <w:rsid w:val="00A62BEA"/>
    <w:rsid w:val="00A65B6A"/>
    <w:rsid w:val="00A70FFA"/>
    <w:rsid w:val="00A75536"/>
    <w:rsid w:val="00A8524F"/>
    <w:rsid w:val="00A85C3B"/>
    <w:rsid w:val="00A9438A"/>
    <w:rsid w:val="00AA1520"/>
    <w:rsid w:val="00AA2DD9"/>
    <w:rsid w:val="00AA7BF4"/>
    <w:rsid w:val="00AB3945"/>
    <w:rsid w:val="00AC3DBA"/>
    <w:rsid w:val="00AC7015"/>
    <w:rsid w:val="00AE0316"/>
    <w:rsid w:val="00AF55CE"/>
    <w:rsid w:val="00B0161C"/>
    <w:rsid w:val="00B04016"/>
    <w:rsid w:val="00B0463F"/>
    <w:rsid w:val="00B12055"/>
    <w:rsid w:val="00B13DA6"/>
    <w:rsid w:val="00B152A4"/>
    <w:rsid w:val="00B1716B"/>
    <w:rsid w:val="00B31576"/>
    <w:rsid w:val="00B33CAA"/>
    <w:rsid w:val="00B37607"/>
    <w:rsid w:val="00B431AF"/>
    <w:rsid w:val="00B46735"/>
    <w:rsid w:val="00B60A94"/>
    <w:rsid w:val="00B74C52"/>
    <w:rsid w:val="00B74C84"/>
    <w:rsid w:val="00B76776"/>
    <w:rsid w:val="00B7708C"/>
    <w:rsid w:val="00B86C63"/>
    <w:rsid w:val="00B907E3"/>
    <w:rsid w:val="00B92E2F"/>
    <w:rsid w:val="00B964DF"/>
    <w:rsid w:val="00BA59B1"/>
    <w:rsid w:val="00BB3DF1"/>
    <w:rsid w:val="00BE2538"/>
    <w:rsid w:val="00BE7A51"/>
    <w:rsid w:val="00BF4E3C"/>
    <w:rsid w:val="00C15D19"/>
    <w:rsid w:val="00C20689"/>
    <w:rsid w:val="00C255D1"/>
    <w:rsid w:val="00C271E5"/>
    <w:rsid w:val="00C445B9"/>
    <w:rsid w:val="00C516C7"/>
    <w:rsid w:val="00C570C8"/>
    <w:rsid w:val="00C6222B"/>
    <w:rsid w:val="00C62F01"/>
    <w:rsid w:val="00C653CB"/>
    <w:rsid w:val="00C7343E"/>
    <w:rsid w:val="00C7438C"/>
    <w:rsid w:val="00C77A46"/>
    <w:rsid w:val="00C81061"/>
    <w:rsid w:val="00C836D4"/>
    <w:rsid w:val="00C94E7D"/>
    <w:rsid w:val="00CA1354"/>
    <w:rsid w:val="00CA4DE2"/>
    <w:rsid w:val="00CA625E"/>
    <w:rsid w:val="00CC4C06"/>
    <w:rsid w:val="00CC60E8"/>
    <w:rsid w:val="00CC7E7E"/>
    <w:rsid w:val="00CC7F11"/>
    <w:rsid w:val="00CD346C"/>
    <w:rsid w:val="00CD46F7"/>
    <w:rsid w:val="00CD5633"/>
    <w:rsid w:val="00CD747F"/>
    <w:rsid w:val="00CF73DF"/>
    <w:rsid w:val="00D05816"/>
    <w:rsid w:val="00D06A96"/>
    <w:rsid w:val="00D12DD5"/>
    <w:rsid w:val="00D136A8"/>
    <w:rsid w:val="00D200A8"/>
    <w:rsid w:val="00D224D3"/>
    <w:rsid w:val="00D268C0"/>
    <w:rsid w:val="00D37247"/>
    <w:rsid w:val="00D40178"/>
    <w:rsid w:val="00D50CCD"/>
    <w:rsid w:val="00D520E1"/>
    <w:rsid w:val="00D559E4"/>
    <w:rsid w:val="00D60FCB"/>
    <w:rsid w:val="00D64FA7"/>
    <w:rsid w:val="00D66283"/>
    <w:rsid w:val="00D66AED"/>
    <w:rsid w:val="00D711CA"/>
    <w:rsid w:val="00D76795"/>
    <w:rsid w:val="00D7711C"/>
    <w:rsid w:val="00D817D9"/>
    <w:rsid w:val="00D84033"/>
    <w:rsid w:val="00D84312"/>
    <w:rsid w:val="00DA70E7"/>
    <w:rsid w:val="00DC3313"/>
    <w:rsid w:val="00DC43A2"/>
    <w:rsid w:val="00DC4815"/>
    <w:rsid w:val="00DC5BFB"/>
    <w:rsid w:val="00DC5D91"/>
    <w:rsid w:val="00DF7019"/>
    <w:rsid w:val="00E1042A"/>
    <w:rsid w:val="00E13503"/>
    <w:rsid w:val="00E17B72"/>
    <w:rsid w:val="00E212BC"/>
    <w:rsid w:val="00E24B34"/>
    <w:rsid w:val="00E24B4B"/>
    <w:rsid w:val="00E42ADA"/>
    <w:rsid w:val="00E50B66"/>
    <w:rsid w:val="00E65A8F"/>
    <w:rsid w:val="00E71516"/>
    <w:rsid w:val="00E7347F"/>
    <w:rsid w:val="00E76C03"/>
    <w:rsid w:val="00E86531"/>
    <w:rsid w:val="00E9487B"/>
    <w:rsid w:val="00EA0152"/>
    <w:rsid w:val="00EA19B9"/>
    <w:rsid w:val="00EB02CE"/>
    <w:rsid w:val="00EB26EA"/>
    <w:rsid w:val="00EC161C"/>
    <w:rsid w:val="00EC2F02"/>
    <w:rsid w:val="00EC7BCC"/>
    <w:rsid w:val="00ED5371"/>
    <w:rsid w:val="00EF3FF0"/>
    <w:rsid w:val="00F00E44"/>
    <w:rsid w:val="00F03E7B"/>
    <w:rsid w:val="00F235D0"/>
    <w:rsid w:val="00F272DA"/>
    <w:rsid w:val="00F32EAD"/>
    <w:rsid w:val="00F37376"/>
    <w:rsid w:val="00F373D7"/>
    <w:rsid w:val="00F40D2C"/>
    <w:rsid w:val="00F42D8C"/>
    <w:rsid w:val="00F4458B"/>
    <w:rsid w:val="00F570BC"/>
    <w:rsid w:val="00F5718A"/>
    <w:rsid w:val="00F67A08"/>
    <w:rsid w:val="00F81AB0"/>
    <w:rsid w:val="00F91663"/>
    <w:rsid w:val="00FA435B"/>
    <w:rsid w:val="00FB4D1F"/>
    <w:rsid w:val="00FB500B"/>
    <w:rsid w:val="00FC46A5"/>
    <w:rsid w:val="00FE18AE"/>
    <w:rsid w:val="00FE21B4"/>
    <w:rsid w:val="00FE45D3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49F3D"/>
  <w15:chartTrackingRefBased/>
  <w15:docId w15:val="{89B0E2A2-5668-4ACB-A04A-0B86C78E1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F3737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3737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37376"/>
    <w:rPr>
      <w:vertAlign w:val="superscript"/>
    </w:rPr>
  </w:style>
  <w:style w:type="table" w:styleId="Tabellenraster">
    <w:name w:val="Table Grid"/>
    <w:basedOn w:val="NormaleTabelle"/>
    <w:uiPriority w:val="39"/>
    <w:rsid w:val="00814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17E3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D3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346C"/>
  </w:style>
  <w:style w:type="paragraph" w:styleId="Fuzeile">
    <w:name w:val="footer"/>
    <w:basedOn w:val="Standard"/>
    <w:link w:val="FuzeileZchn"/>
    <w:uiPriority w:val="99"/>
    <w:unhideWhenUsed/>
    <w:rsid w:val="00CD3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346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1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16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3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E8369-D269-469E-9A24-30601844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1428</Words>
  <Characters>9000</Characters>
  <Application>Microsoft Office Word</Application>
  <DocSecurity>0</DocSecurity>
  <Lines>75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Hub</dc:creator>
  <cp:keywords/>
  <dc:description/>
  <cp:lastModifiedBy>Faßnacht, Klaus</cp:lastModifiedBy>
  <cp:revision>2</cp:revision>
  <cp:lastPrinted>2020-03-06T08:05:00Z</cp:lastPrinted>
  <dcterms:created xsi:type="dcterms:W3CDTF">2020-08-19T10:42:00Z</dcterms:created>
  <dcterms:modified xsi:type="dcterms:W3CDTF">2020-08-19T10:42:00Z</dcterms:modified>
</cp:coreProperties>
</file>